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2EB0" w:rsidRDefault="00762EB0" w:rsidP="00762EB0">
      <w:pPr>
        <w:spacing w:line="276" w:lineRule="auto"/>
        <w:rPr>
          <w:sz w:val="22"/>
          <w:szCs w:val="22"/>
        </w:rPr>
      </w:pPr>
      <w:bookmarkStart w:id="0" w:name="_Hlk129954464"/>
    </w:p>
    <w:p w:rsidR="00762EB0" w:rsidRDefault="00762EB0" w:rsidP="00762EB0">
      <w:pPr>
        <w:pStyle w:val="Bezproreda"/>
      </w:pPr>
      <w:r>
        <w:t xml:space="preserve">                    </w:t>
      </w:r>
      <w:r>
        <w:rPr>
          <w:noProof/>
          <w:lang w:eastAsia="hr-HR"/>
        </w:rPr>
        <w:drawing>
          <wp:inline distT="0" distB="0" distL="0" distR="0" wp14:anchorId="2E6CC5A2" wp14:editId="1DE699CA">
            <wp:extent cx="438150" cy="5810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EB0" w:rsidRDefault="00762EB0" w:rsidP="00762EB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REUBLIKA HRVATSKA</w:t>
      </w:r>
    </w:p>
    <w:p w:rsidR="00762EB0" w:rsidRDefault="00762EB0" w:rsidP="00762EB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:rsidR="00762EB0" w:rsidRDefault="00762EB0" w:rsidP="00762EB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OPĆINA TKON</w:t>
      </w:r>
    </w:p>
    <w:p w:rsidR="00762EB0" w:rsidRDefault="00762EB0" w:rsidP="00762EB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62EB0" w:rsidRDefault="00762EB0" w:rsidP="00762EB0">
      <w:pPr>
        <w:spacing w:line="276" w:lineRule="auto"/>
        <w:rPr>
          <w:b/>
          <w:bCs/>
        </w:rPr>
      </w:pPr>
      <w:r>
        <w:rPr>
          <w:b/>
          <w:bCs/>
        </w:rPr>
        <w:t>Općinsko Vijeće Općine Tkon</w:t>
      </w:r>
    </w:p>
    <w:p w:rsidR="00762EB0" w:rsidRDefault="00762EB0" w:rsidP="00762EB0">
      <w:pPr>
        <w:jc w:val="both"/>
      </w:pPr>
      <w:r>
        <w:t>KLASA: 363-01/26-03/</w:t>
      </w:r>
      <w:r w:rsidR="005F4B4E">
        <w:t>2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762EB0" w:rsidRDefault="00762EB0" w:rsidP="00762EB0">
      <w:r>
        <w:t>URBROJ: 2198-32-26-2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62EB0" w:rsidRDefault="00762EB0" w:rsidP="00762EB0">
      <w:r>
        <w:t>Tkon,</w:t>
      </w:r>
      <w:r w:rsidR="00455FBF">
        <w:t xml:space="preserve"> 19. lipnja 2026. godine</w:t>
      </w:r>
    </w:p>
    <w:p w:rsidR="00762EB0" w:rsidRDefault="00762EB0" w:rsidP="00762EB0">
      <w:pPr>
        <w:ind w:firstLine="708"/>
        <w:jc w:val="both"/>
        <w:rPr>
          <w:sz w:val="22"/>
          <w:szCs w:val="22"/>
        </w:rPr>
      </w:pPr>
    </w:p>
    <w:p w:rsidR="00762EB0" w:rsidRPr="00F408C6" w:rsidRDefault="00762EB0" w:rsidP="00762EB0">
      <w:pPr>
        <w:ind w:firstLine="708"/>
        <w:jc w:val="both"/>
        <w:rPr>
          <w:b/>
          <w:sz w:val="22"/>
          <w:szCs w:val="22"/>
        </w:rPr>
      </w:pPr>
      <w:r w:rsidRPr="00F408C6">
        <w:rPr>
          <w:sz w:val="22"/>
          <w:szCs w:val="22"/>
        </w:rPr>
        <w:t>Na temelju članka 71.  Zakona o komunalnom gospodarstvu (Narodne Novine broj: 68/2018, 110/2018 i 32/20) i članka 31. Statuta Općine Tkon (Službeni glasnik Općine Tkon, broj: 2/2021), Općinsko vijeće Općine Tkon</w:t>
      </w:r>
      <w:r w:rsidR="00455FBF">
        <w:rPr>
          <w:sz w:val="22"/>
          <w:szCs w:val="22"/>
        </w:rPr>
        <w:t xml:space="preserve"> na 9. sjednici, održanoj </w:t>
      </w:r>
      <w:r w:rsidRPr="00F408C6">
        <w:rPr>
          <w:sz w:val="22"/>
          <w:szCs w:val="22"/>
        </w:rPr>
        <w:t xml:space="preserve">dana </w:t>
      </w:r>
      <w:r w:rsidR="00455FBF">
        <w:rPr>
          <w:sz w:val="22"/>
          <w:szCs w:val="22"/>
        </w:rPr>
        <w:t>19. lipnja 2026.</w:t>
      </w:r>
      <w:bookmarkStart w:id="1" w:name="_GoBack"/>
      <w:bookmarkEnd w:id="1"/>
      <w:r w:rsidRPr="00F408C6">
        <w:rPr>
          <w:sz w:val="22"/>
          <w:szCs w:val="22"/>
        </w:rPr>
        <w:t xml:space="preserve"> donosi</w:t>
      </w:r>
    </w:p>
    <w:p w:rsidR="00762EB0" w:rsidRDefault="00762EB0" w:rsidP="00762EB0">
      <w:pPr>
        <w:jc w:val="center"/>
        <w:rPr>
          <w:b/>
          <w:sz w:val="22"/>
          <w:szCs w:val="22"/>
        </w:rPr>
      </w:pPr>
    </w:p>
    <w:p w:rsidR="00762EB0" w:rsidRPr="00F408C6" w:rsidRDefault="00762EB0" w:rsidP="00762EB0">
      <w:pPr>
        <w:jc w:val="center"/>
        <w:rPr>
          <w:b/>
          <w:sz w:val="22"/>
          <w:szCs w:val="22"/>
        </w:rPr>
      </w:pPr>
    </w:p>
    <w:p w:rsidR="00762EB0" w:rsidRPr="00F408C6" w:rsidRDefault="00762EB0" w:rsidP="00762EB0">
      <w:pPr>
        <w:jc w:val="center"/>
        <w:rPr>
          <w:b/>
          <w:sz w:val="22"/>
          <w:szCs w:val="22"/>
        </w:rPr>
      </w:pPr>
      <w:r w:rsidRPr="00F408C6">
        <w:rPr>
          <w:b/>
          <w:sz w:val="22"/>
          <w:szCs w:val="22"/>
        </w:rPr>
        <w:t>IZVJEŠĆE O IZVRŠENJU PROGRAMA</w:t>
      </w:r>
    </w:p>
    <w:p w:rsidR="00762EB0" w:rsidRDefault="00762EB0" w:rsidP="00762EB0">
      <w:pPr>
        <w:jc w:val="center"/>
        <w:rPr>
          <w:b/>
          <w:sz w:val="22"/>
          <w:szCs w:val="22"/>
        </w:rPr>
      </w:pPr>
      <w:r w:rsidRPr="00F408C6">
        <w:rPr>
          <w:b/>
          <w:sz w:val="22"/>
          <w:szCs w:val="22"/>
        </w:rPr>
        <w:t>građenja komunalne infrastrukture na području Općine Tkon za  202</w:t>
      </w:r>
      <w:r>
        <w:rPr>
          <w:b/>
          <w:sz w:val="22"/>
          <w:szCs w:val="22"/>
        </w:rPr>
        <w:t>5</w:t>
      </w:r>
      <w:r w:rsidRPr="00F408C6">
        <w:rPr>
          <w:b/>
          <w:sz w:val="22"/>
          <w:szCs w:val="22"/>
        </w:rPr>
        <w:t xml:space="preserve">. godinu </w:t>
      </w:r>
    </w:p>
    <w:p w:rsidR="00762EB0" w:rsidRPr="00F408C6" w:rsidRDefault="00762EB0" w:rsidP="00762EB0">
      <w:pPr>
        <w:jc w:val="center"/>
        <w:rPr>
          <w:b/>
          <w:sz w:val="22"/>
          <w:szCs w:val="22"/>
        </w:rPr>
      </w:pPr>
    </w:p>
    <w:p w:rsidR="00762EB0" w:rsidRPr="00F408C6" w:rsidRDefault="00762EB0" w:rsidP="00762EB0">
      <w:pPr>
        <w:keepNext/>
        <w:jc w:val="both"/>
        <w:outlineLvl w:val="1"/>
        <w:rPr>
          <w:b/>
          <w:bCs/>
          <w:sz w:val="22"/>
          <w:szCs w:val="22"/>
        </w:rPr>
      </w:pPr>
    </w:p>
    <w:p w:rsidR="00762EB0" w:rsidRPr="00F408C6" w:rsidRDefault="00762EB0" w:rsidP="00762EB0">
      <w:pPr>
        <w:keepNext/>
        <w:jc w:val="both"/>
        <w:outlineLvl w:val="1"/>
        <w:rPr>
          <w:b/>
          <w:bCs/>
          <w:sz w:val="22"/>
          <w:szCs w:val="22"/>
        </w:rPr>
      </w:pPr>
      <w:r w:rsidRPr="00F408C6">
        <w:rPr>
          <w:b/>
          <w:bCs/>
          <w:sz w:val="22"/>
          <w:szCs w:val="22"/>
        </w:rPr>
        <w:t>I OPĆE ODREDBE</w:t>
      </w:r>
    </w:p>
    <w:p w:rsidR="00762EB0" w:rsidRPr="00F408C6" w:rsidRDefault="00762EB0" w:rsidP="00762EB0">
      <w:pPr>
        <w:jc w:val="center"/>
        <w:rPr>
          <w:b/>
          <w:sz w:val="22"/>
          <w:szCs w:val="22"/>
        </w:rPr>
      </w:pPr>
      <w:r w:rsidRPr="00F408C6">
        <w:rPr>
          <w:b/>
          <w:sz w:val="22"/>
          <w:szCs w:val="22"/>
        </w:rPr>
        <w:t>Članak 1.</w:t>
      </w:r>
    </w:p>
    <w:p w:rsidR="00762EB0" w:rsidRPr="00F408C6" w:rsidRDefault="00762EB0" w:rsidP="00762EB0">
      <w:pPr>
        <w:ind w:firstLine="705"/>
        <w:jc w:val="both"/>
        <w:rPr>
          <w:bCs/>
          <w:sz w:val="22"/>
          <w:szCs w:val="22"/>
        </w:rPr>
      </w:pPr>
      <w:r w:rsidRPr="00F408C6">
        <w:rPr>
          <w:bCs/>
          <w:sz w:val="22"/>
          <w:szCs w:val="22"/>
        </w:rPr>
        <w:t>Program gra</w:t>
      </w:r>
      <w:r>
        <w:rPr>
          <w:bCs/>
          <w:sz w:val="22"/>
          <w:szCs w:val="22"/>
        </w:rPr>
        <w:t>đenja</w:t>
      </w:r>
      <w:r w:rsidRPr="00F408C6">
        <w:rPr>
          <w:bCs/>
          <w:sz w:val="22"/>
          <w:szCs w:val="22"/>
        </w:rPr>
        <w:t xml:space="preserve"> komunalne infrastrukture </w:t>
      </w:r>
      <w:r>
        <w:rPr>
          <w:bCs/>
          <w:sz w:val="22"/>
          <w:szCs w:val="22"/>
        </w:rPr>
        <w:t>na području</w:t>
      </w:r>
      <w:r w:rsidRPr="00F408C6">
        <w:rPr>
          <w:bCs/>
          <w:sz w:val="22"/>
          <w:szCs w:val="22"/>
        </w:rPr>
        <w:t xml:space="preserve"> Općin</w:t>
      </w:r>
      <w:r>
        <w:rPr>
          <w:bCs/>
          <w:sz w:val="22"/>
          <w:szCs w:val="22"/>
        </w:rPr>
        <w:t>e</w:t>
      </w:r>
      <w:r w:rsidRPr="00F408C6">
        <w:rPr>
          <w:bCs/>
          <w:sz w:val="22"/>
          <w:szCs w:val="22"/>
        </w:rPr>
        <w:t xml:space="preserve"> Tkon za 202</w:t>
      </w:r>
      <w:r>
        <w:rPr>
          <w:bCs/>
          <w:sz w:val="22"/>
          <w:szCs w:val="22"/>
        </w:rPr>
        <w:t>5</w:t>
      </w:r>
      <w:r w:rsidRPr="00F408C6">
        <w:rPr>
          <w:bCs/>
          <w:sz w:val="22"/>
          <w:szCs w:val="22"/>
        </w:rPr>
        <w:t>. godinu („Službeni glasnik Općine Tkon</w:t>
      </w:r>
      <w:r w:rsidRPr="00373CA5">
        <w:rPr>
          <w:bCs/>
          <w:sz w:val="22"/>
          <w:szCs w:val="22"/>
        </w:rPr>
        <w:t>"</w:t>
      </w:r>
      <w:r>
        <w:rPr>
          <w:bCs/>
          <w:sz w:val="22"/>
          <w:szCs w:val="22"/>
        </w:rPr>
        <w:t xml:space="preserve"> </w:t>
      </w:r>
      <w:r w:rsidRPr="00373CA5">
        <w:rPr>
          <w:bCs/>
        </w:rPr>
        <w:t>1</w:t>
      </w:r>
      <w:r>
        <w:rPr>
          <w:bCs/>
        </w:rPr>
        <w:t>5/2024. i 10/2025 i 18/2025</w:t>
      </w:r>
      <w:r w:rsidRPr="00F408C6">
        <w:rPr>
          <w:bCs/>
          <w:sz w:val="22"/>
          <w:szCs w:val="22"/>
        </w:rPr>
        <w:t xml:space="preserve">) određuje izgradnju </w:t>
      </w:r>
      <w:r>
        <w:rPr>
          <w:bCs/>
        </w:rPr>
        <w:t xml:space="preserve">objekata i uređaja </w:t>
      </w:r>
      <w:r w:rsidRPr="00F408C6">
        <w:rPr>
          <w:bCs/>
          <w:sz w:val="22"/>
          <w:szCs w:val="22"/>
        </w:rPr>
        <w:t>komunalne infrastrukture na području Općine Tkon za 202</w:t>
      </w:r>
      <w:r>
        <w:rPr>
          <w:bCs/>
          <w:sz w:val="22"/>
          <w:szCs w:val="22"/>
        </w:rPr>
        <w:t>5</w:t>
      </w:r>
      <w:r w:rsidRPr="00F408C6">
        <w:rPr>
          <w:bCs/>
          <w:sz w:val="22"/>
          <w:szCs w:val="22"/>
        </w:rPr>
        <w:t>. godinu(u daljnjem tekstu: Program) i obuhvaća:</w:t>
      </w:r>
    </w:p>
    <w:p w:rsidR="00762EB0" w:rsidRPr="00F408C6" w:rsidRDefault="00762EB0" w:rsidP="00762EB0">
      <w:pPr>
        <w:pStyle w:val="Odlomakpopisa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F408C6">
        <w:rPr>
          <w:bCs/>
          <w:sz w:val="22"/>
          <w:szCs w:val="22"/>
        </w:rPr>
        <w:t>Građevine komunalne infrastrukture koje će se graditi u uređenim dijelovima građevinskog područja</w:t>
      </w:r>
    </w:p>
    <w:p w:rsidR="00762EB0" w:rsidRPr="00F408C6" w:rsidRDefault="00762EB0" w:rsidP="00762EB0">
      <w:pPr>
        <w:pStyle w:val="Odlomakpopisa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F408C6">
        <w:rPr>
          <w:bCs/>
          <w:sz w:val="22"/>
          <w:szCs w:val="22"/>
        </w:rPr>
        <w:t>Građevine komunalne infrastrukture koje će se graditi izvan građevinskog područja</w:t>
      </w:r>
    </w:p>
    <w:p w:rsidR="00762EB0" w:rsidRDefault="00762EB0" w:rsidP="00762EB0">
      <w:pPr>
        <w:jc w:val="center"/>
        <w:rPr>
          <w:b/>
          <w:bCs/>
          <w:sz w:val="22"/>
          <w:szCs w:val="22"/>
        </w:rPr>
      </w:pPr>
    </w:p>
    <w:p w:rsidR="00762EB0" w:rsidRPr="00F408C6" w:rsidRDefault="00762EB0" w:rsidP="00762EB0">
      <w:pPr>
        <w:jc w:val="center"/>
        <w:rPr>
          <w:b/>
          <w:bCs/>
          <w:sz w:val="22"/>
          <w:szCs w:val="22"/>
        </w:rPr>
      </w:pPr>
    </w:p>
    <w:p w:rsidR="00762EB0" w:rsidRDefault="00762EB0" w:rsidP="00762EB0">
      <w:pPr>
        <w:jc w:val="center"/>
        <w:rPr>
          <w:b/>
          <w:bCs/>
          <w:sz w:val="22"/>
          <w:szCs w:val="22"/>
        </w:rPr>
      </w:pPr>
      <w:r w:rsidRPr="00F408C6">
        <w:rPr>
          <w:b/>
          <w:bCs/>
          <w:sz w:val="22"/>
          <w:szCs w:val="22"/>
        </w:rPr>
        <w:t>Članak 2.</w:t>
      </w:r>
    </w:p>
    <w:p w:rsidR="00762EB0" w:rsidRPr="00F408C6" w:rsidRDefault="00762EB0" w:rsidP="00762EB0">
      <w:pPr>
        <w:jc w:val="center"/>
        <w:rPr>
          <w:b/>
          <w:bCs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  <w:r w:rsidRPr="00F408C6">
        <w:rPr>
          <w:b/>
          <w:sz w:val="22"/>
          <w:szCs w:val="22"/>
        </w:rPr>
        <w:t>PREGLED IZVRŠENIH INVESTICIJA PO STAVKAMA</w:t>
      </w: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690"/>
        <w:gridCol w:w="4692"/>
        <w:gridCol w:w="2126"/>
        <w:gridCol w:w="1985"/>
      </w:tblGrid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PLANIRANO ZA 2025. (EUR)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IZVRŠENO U 2025. (EUR)</w:t>
            </w:r>
          </w:p>
        </w:tc>
      </w:tr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165.400,00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2467D3" w:rsidRDefault="00762EB0" w:rsidP="00383346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2467D3">
              <w:rPr>
                <w:bCs/>
                <w:color w:val="000000" w:themeColor="text1"/>
                <w:lang w:eastAsia="en-US"/>
              </w:rPr>
              <w:t>130.569,58</w:t>
            </w:r>
          </w:p>
        </w:tc>
      </w:tr>
      <w:tr w:rsidR="00762EB0" w:rsidRPr="00B77E8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donacija pravnih osoba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2467D3" w:rsidRDefault="00762EB0" w:rsidP="00383346">
            <w:pPr>
              <w:jc w:val="right"/>
              <w:rPr>
                <w:bCs/>
                <w:color w:val="000000" w:themeColor="text1"/>
                <w:lang w:eastAsia="en-US"/>
              </w:rPr>
            </w:pPr>
            <w:r w:rsidRPr="002467D3">
              <w:rPr>
                <w:bCs/>
                <w:color w:val="000000" w:themeColor="text1"/>
                <w:lang w:eastAsia="en-US"/>
              </w:rPr>
              <w:t>9.695,00</w:t>
            </w:r>
          </w:p>
        </w:tc>
      </w:tr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291.952,00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250.000,00</w:t>
            </w:r>
          </w:p>
        </w:tc>
      </w:tr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koncesija na pomorskom dobru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65.675,00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56.966,90</w:t>
            </w:r>
          </w:p>
        </w:tc>
      </w:tr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965.078,00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378.744,86</w:t>
            </w:r>
          </w:p>
        </w:tc>
      </w:tr>
      <w:tr w:rsidR="00762EB0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74.300,00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53.134,37</w:t>
            </w:r>
          </w:p>
        </w:tc>
      </w:tr>
      <w:tr w:rsidR="00762EB0" w:rsidRPr="00A41BCC" w:rsidTr="00383346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1.572.405,00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762EB0" w:rsidRPr="00A41BCC" w:rsidRDefault="00762EB0" w:rsidP="00383346">
            <w:pPr>
              <w:jc w:val="right"/>
              <w:rPr>
                <w:b/>
                <w:lang w:eastAsia="en-US"/>
              </w:rPr>
            </w:pPr>
            <w:r w:rsidRPr="00A41BCC">
              <w:rPr>
                <w:b/>
                <w:lang w:eastAsia="en-US"/>
              </w:rPr>
              <w:t>879.110,71</w:t>
            </w:r>
          </w:p>
        </w:tc>
      </w:tr>
    </w:tbl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Pr="00F408C6" w:rsidRDefault="00762EB0" w:rsidP="00762EB0">
      <w:pPr>
        <w:keepNext/>
        <w:jc w:val="both"/>
        <w:outlineLvl w:val="1"/>
        <w:rPr>
          <w:b/>
          <w:sz w:val="22"/>
          <w:szCs w:val="22"/>
        </w:rPr>
      </w:pPr>
    </w:p>
    <w:p w:rsidR="00762EB0" w:rsidRPr="00F408C6" w:rsidRDefault="00762EB0" w:rsidP="00762EB0">
      <w:pPr>
        <w:jc w:val="both"/>
        <w:rPr>
          <w:b/>
          <w:bCs/>
          <w:sz w:val="22"/>
          <w:szCs w:val="22"/>
          <w:u w:val="single"/>
        </w:rPr>
      </w:pPr>
    </w:p>
    <w:p w:rsidR="00762EB0" w:rsidRPr="00916622" w:rsidRDefault="00762EB0" w:rsidP="00762EB0">
      <w:pPr>
        <w:pStyle w:val="Odlomakpopisa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916622">
        <w:rPr>
          <w:b/>
          <w:bCs/>
          <w:sz w:val="22"/>
          <w:szCs w:val="22"/>
        </w:rPr>
        <w:lastRenderedPageBreak/>
        <w:t>GRAĐEVINE KOMUNALNE INFRASTRUKTURE KOJE SU SE GRADILE U UREĐENIM DIJELOVIMA GRAĐEVINSKOG PODRUČJA</w:t>
      </w:r>
    </w:p>
    <w:p w:rsidR="00762EB0" w:rsidRDefault="00762EB0" w:rsidP="00762EB0">
      <w:pPr>
        <w:spacing w:line="276" w:lineRule="auto"/>
        <w:jc w:val="both"/>
        <w:rPr>
          <w:bCs/>
          <w:sz w:val="22"/>
          <w:szCs w:val="22"/>
        </w:rPr>
      </w:pPr>
    </w:p>
    <w:p w:rsidR="00762EB0" w:rsidRPr="00F408C6" w:rsidRDefault="00762EB0" w:rsidP="00762EB0">
      <w:pPr>
        <w:spacing w:line="276" w:lineRule="auto"/>
        <w:jc w:val="both"/>
        <w:rPr>
          <w:bCs/>
          <w:sz w:val="22"/>
          <w:szCs w:val="22"/>
        </w:rPr>
      </w:pPr>
    </w:p>
    <w:p w:rsidR="00762EB0" w:rsidRPr="00B16806" w:rsidRDefault="00762EB0" w:rsidP="00762EB0">
      <w:pPr>
        <w:pStyle w:val="Odlomakpopisa"/>
        <w:numPr>
          <w:ilvl w:val="0"/>
          <w:numId w:val="15"/>
        </w:numPr>
        <w:jc w:val="both"/>
        <w:rPr>
          <w:b/>
          <w:bCs/>
          <w:sz w:val="22"/>
          <w:szCs w:val="22"/>
        </w:rPr>
      </w:pPr>
      <w:r w:rsidRPr="00B16806">
        <w:rPr>
          <w:b/>
          <w:bCs/>
          <w:sz w:val="22"/>
          <w:szCs w:val="22"/>
        </w:rPr>
        <w:t>Nerazvrstane ceste</w:t>
      </w:r>
    </w:p>
    <w:p w:rsidR="00762EB0" w:rsidRPr="00B16806" w:rsidRDefault="00762EB0" w:rsidP="00762EB0">
      <w:pPr>
        <w:pStyle w:val="Odlomakpopisa"/>
        <w:jc w:val="both"/>
        <w:rPr>
          <w:b/>
          <w:bCs/>
        </w:rPr>
      </w:pPr>
    </w:p>
    <w:p w:rsidR="00762EB0" w:rsidRDefault="00762EB0" w:rsidP="00762EB0">
      <w:pPr>
        <w:jc w:val="both"/>
        <w:rPr>
          <w:b/>
          <w:bCs/>
        </w:rPr>
      </w:pPr>
    </w:p>
    <w:tbl>
      <w:tblPr>
        <w:tblStyle w:val="Reetkatablice"/>
        <w:tblW w:w="9094" w:type="dxa"/>
        <w:tblInd w:w="-34" w:type="dxa"/>
        <w:tblLook w:val="04A0" w:firstRow="1" w:lastRow="0" w:firstColumn="1" w:lastColumn="0" w:noHBand="0" w:noVBand="1"/>
      </w:tblPr>
      <w:tblGrid>
        <w:gridCol w:w="708"/>
        <w:gridCol w:w="2962"/>
        <w:gridCol w:w="2658"/>
        <w:gridCol w:w="1414"/>
        <w:gridCol w:w="1352"/>
      </w:tblGrid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IZVRŠENJE U 2025.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1.1.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NERAZVRSTANE CETE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Nerazvrstane ceste 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21.485,42</w:t>
            </w:r>
          </w:p>
        </w:tc>
      </w:tr>
      <w:tr w:rsidR="00762EB0" w:rsidTr="00383346">
        <w:trPr>
          <w:trHeight w:val="101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447F21" w:rsidRDefault="00762EB0" w:rsidP="00383346">
            <w:pPr>
              <w:rPr>
                <w:b/>
                <w:lang w:eastAsia="en-US"/>
              </w:rPr>
            </w:pPr>
            <w:r w:rsidRPr="00447F21">
              <w:rPr>
                <w:b/>
                <w:lang w:eastAsia="en-US"/>
              </w:rPr>
              <w:t>UKUPNO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447F21" w:rsidRDefault="00762EB0" w:rsidP="00383346">
            <w:pPr>
              <w:jc w:val="right"/>
              <w:rPr>
                <w:b/>
                <w:lang w:eastAsia="en-US"/>
              </w:rPr>
            </w:pPr>
            <w:r w:rsidRPr="00447F21">
              <w:rPr>
                <w:b/>
                <w:lang w:eastAsia="en-US"/>
              </w:rPr>
              <w:t>21.500,00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447F21" w:rsidRDefault="00762EB0" w:rsidP="0038334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21.485,42</w:t>
            </w:r>
          </w:p>
        </w:tc>
      </w:tr>
      <w:tr w:rsidR="00762EB0" w:rsidTr="00383346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450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1.2.</w:t>
            </w:r>
          </w:p>
        </w:tc>
        <w:tc>
          <w:tcPr>
            <w:tcW w:w="2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Nogostup Put Studenca – projektna dokumentacija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19.500,00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19.500,00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0.00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NERAZVRSTANE CESTE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41.000,00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21.485,42</w:t>
            </w:r>
          </w:p>
        </w:tc>
      </w:tr>
    </w:tbl>
    <w:p w:rsidR="00762EB0" w:rsidRDefault="00762EB0" w:rsidP="00762EB0">
      <w:pPr>
        <w:jc w:val="both"/>
        <w:rPr>
          <w:b/>
          <w:bCs/>
        </w:rPr>
      </w:pPr>
    </w:p>
    <w:p w:rsidR="00762EB0" w:rsidRPr="00DF0D6B" w:rsidRDefault="00762EB0" w:rsidP="00762EB0">
      <w:pPr>
        <w:shd w:val="clear" w:color="auto" w:fill="FFFFFF" w:themeFill="background1"/>
        <w:jc w:val="both"/>
        <w:rPr>
          <w:bCs/>
        </w:rPr>
      </w:pPr>
    </w:p>
    <w:p w:rsidR="00762EB0" w:rsidRPr="002467D3" w:rsidRDefault="00762EB0" w:rsidP="00762EB0">
      <w:p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r w:rsidRPr="002467D3">
        <w:rPr>
          <w:color w:val="000000" w:themeColor="text1"/>
          <w:sz w:val="22"/>
          <w:szCs w:val="22"/>
        </w:rPr>
        <w:t xml:space="preserve">Obrazloženje za odstupanje </w:t>
      </w:r>
      <w:r>
        <w:rPr>
          <w:color w:val="000000" w:themeColor="text1"/>
          <w:sz w:val="22"/>
          <w:szCs w:val="22"/>
        </w:rPr>
        <w:t>između planiranih sredstava i izvršenih</w:t>
      </w:r>
      <w:r w:rsidRPr="002467D3">
        <w:rPr>
          <w:color w:val="000000" w:themeColor="text1"/>
          <w:sz w:val="22"/>
          <w:szCs w:val="22"/>
        </w:rPr>
        <w:t>:</w:t>
      </w:r>
    </w:p>
    <w:p w:rsidR="00762EB0" w:rsidRPr="00916622" w:rsidRDefault="00762EB0" w:rsidP="00762EB0">
      <w:pPr>
        <w:jc w:val="both"/>
        <w:rPr>
          <w:sz w:val="22"/>
          <w:szCs w:val="22"/>
        </w:rPr>
      </w:pPr>
      <w:r w:rsidRPr="00916622">
        <w:rPr>
          <w:sz w:val="22"/>
          <w:szCs w:val="22"/>
        </w:rPr>
        <w:t xml:space="preserve">1. Odstupanje </w:t>
      </w:r>
      <w:r>
        <w:rPr>
          <w:sz w:val="22"/>
          <w:szCs w:val="22"/>
        </w:rPr>
        <w:t xml:space="preserve">između plana i realizacije je nastalo na projektu Nogostup Put Studenca – projektna dokumentacija iz razloga što su proračunska sredstva planirana sukladno provedenom postupku javne nabave. Javna nabava je provedena te je ugovor o izradi dokumentacije sklopljen tijekom 2025. godine, a izvršenje je predviđeno tijekom 2026. godine. </w:t>
      </w:r>
    </w:p>
    <w:p w:rsidR="00762EB0" w:rsidRPr="00916622" w:rsidRDefault="00762EB0" w:rsidP="00762EB0">
      <w:pPr>
        <w:jc w:val="both"/>
        <w:rPr>
          <w:b/>
          <w:bCs/>
          <w:sz w:val="22"/>
          <w:szCs w:val="22"/>
        </w:rPr>
      </w:pPr>
    </w:p>
    <w:p w:rsidR="00762EB0" w:rsidRDefault="00762EB0" w:rsidP="00762EB0">
      <w:pPr>
        <w:pStyle w:val="Odlomakpopisa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2A4AC9">
        <w:rPr>
          <w:b/>
          <w:bCs/>
          <w:sz w:val="22"/>
          <w:szCs w:val="22"/>
        </w:rPr>
        <w:t>Javne prometne površine na kojima nije dopušten promet motornih vozila</w:t>
      </w:r>
    </w:p>
    <w:p w:rsidR="00762EB0" w:rsidRDefault="00762EB0" w:rsidP="00762EB0">
      <w:pPr>
        <w:jc w:val="both"/>
        <w:rPr>
          <w:b/>
          <w:bCs/>
          <w:sz w:val="22"/>
          <w:szCs w:val="22"/>
        </w:rPr>
      </w:pPr>
    </w:p>
    <w:p w:rsidR="00762EB0" w:rsidRDefault="00762EB0" w:rsidP="00762EB0">
      <w:pPr>
        <w:jc w:val="both"/>
        <w:rPr>
          <w:b/>
          <w:bCs/>
        </w:rPr>
      </w:pPr>
    </w:p>
    <w:tbl>
      <w:tblPr>
        <w:tblStyle w:val="Reetkatablice"/>
        <w:tblW w:w="9094" w:type="dxa"/>
        <w:tblInd w:w="-34" w:type="dxa"/>
        <w:tblLook w:val="04A0" w:firstRow="1" w:lastRow="0" w:firstColumn="1" w:lastColumn="0" w:noHBand="0" w:noVBand="1"/>
      </w:tblPr>
      <w:tblGrid>
        <w:gridCol w:w="707"/>
        <w:gridCol w:w="2885"/>
        <w:gridCol w:w="2507"/>
        <w:gridCol w:w="1553"/>
        <w:gridCol w:w="1442"/>
      </w:tblGrid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Red. br.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IZVRŠENJE 2025.</w:t>
            </w:r>
          </w:p>
        </w:tc>
      </w:tr>
      <w:tr w:rsidR="00762EB0" w:rsidTr="00383346">
        <w:trPr>
          <w:trHeight w:val="3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2.1.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TRGOVA OPĆINE TKON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27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trgova Općine Tkon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51.400,00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51.384,37</w:t>
            </w:r>
          </w:p>
        </w:tc>
      </w:tr>
      <w:tr w:rsidR="00762EB0" w:rsidTr="00383346">
        <w:trPr>
          <w:trHeight w:val="27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Prihodi od komunalnog doprinosa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18.400,00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18.362,50</w:t>
            </w:r>
          </w:p>
        </w:tc>
      </w:tr>
      <w:tr w:rsidR="00762EB0" w:rsidTr="00383346">
        <w:trPr>
          <w:trHeight w:val="2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trgova Općine Tkon - nadzor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1.750,00</w:t>
            </w:r>
          </w:p>
        </w:tc>
      </w:tr>
      <w:tr w:rsidR="00762EB0" w:rsidTr="00383346">
        <w:trPr>
          <w:trHeight w:val="26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Projektna dokumentacija – Trgovi Općine Tkon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600,00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72.150,00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72.096,87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2.2.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TRG FONTANA TRI PALME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71648" w:rsidRDefault="00762EB0" w:rsidP="00383346">
            <w:pPr>
              <w:rPr>
                <w:lang w:eastAsia="en-US"/>
              </w:rPr>
            </w:pPr>
            <w:r w:rsidRPr="00671648">
              <w:rPr>
                <w:lang w:eastAsia="en-US"/>
              </w:rPr>
              <w:t>Trg</w:t>
            </w:r>
            <w:r>
              <w:rPr>
                <w:lang w:eastAsia="en-US"/>
              </w:rPr>
              <w:t xml:space="preserve"> Fontana Tri palme</w:t>
            </w:r>
            <w:r w:rsidRPr="00671648">
              <w:rPr>
                <w:lang w:eastAsia="en-US"/>
              </w:rPr>
              <w:t>-projektna dokum</w:t>
            </w:r>
            <w:r>
              <w:rPr>
                <w:lang w:eastAsia="en-US"/>
              </w:rPr>
              <w:t>e</w:t>
            </w:r>
            <w:r w:rsidRPr="00671648">
              <w:rPr>
                <w:lang w:eastAsia="en-US"/>
              </w:rPr>
              <w:t>ntacija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Opći prihodi i primici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1.650,00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762EB0" w:rsidTr="00383346">
        <w:trPr>
          <w:trHeight w:val="41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71648" w:rsidRDefault="00762EB0" w:rsidP="00383346">
            <w:pPr>
              <w:rPr>
                <w:lang w:eastAsia="en-US"/>
              </w:rPr>
            </w:pPr>
            <w:r w:rsidRPr="00671648">
              <w:rPr>
                <w:lang w:eastAsia="en-US"/>
              </w:rPr>
              <w:t xml:space="preserve">Trg </w:t>
            </w:r>
            <w:r>
              <w:rPr>
                <w:lang w:eastAsia="en-US"/>
              </w:rPr>
              <w:t>Tri palme</w:t>
            </w:r>
            <w:r w:rsidRPr="00671648">
              <w:rPr>
                <w:lang w:eastAsia="en-US"/>
              </w:rPr>
              <w:t>-</w:t>
            </w:r>
            <w:r>
              <w:rPr>
                <w:lang w:eastAsia="en-US"/>
              </w:rPr>
              <w:t>radovi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72.400,00</w:t>
            </w: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7.869,13</w:t>
            </w:r>
          </w:p>
        </w:tc>
      </w:tr>
      <w:tr w:rsidR="00762EB0" w:rsidTr="00383346">
        <w:trPr>
          <w:trHeight w:val="412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71648" w:rsidRDefault="00762EB0" w:rsidP="00383346">
            <w:pPr>
              <w:rPr>
                <w:lang w:eastAsia="en-US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100.000,00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100.000,00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71648" w:rsidRDefault="00762EB0" w:rsidP="00383346">
            <w:pPr>
              <w:rPr>
                <w:lang w:eastAsia="en-US"/>
              </w:rPr>
            </w:pPr>
            <w:r w:rsidRPr="00671648">
              <w:rPr>
                <w:lang w:eastAsia="en-US"/>
              </w:rPr>
              <w:t xml:space="preserve">Trg </w:t>
            </w:r>
            <w:r>
              <w:rPr>
                <w:lang w:eastAsia="en-US"/>
              </w:rPr>
              <w:t>Tri palme</w:t>
            </w:r>
            <w:r w:rsidRPr="00671648">
              <w:rPr>
                <w:lang w:eastAsia="en-US"/>
              </w:rPr>
              <w:t>-</w:t>
            </w:r>
            <w:r>
              <w:rPr>
                <w:lang w:eastAsia="en-US"/>
              </w:rPr>
              <w:t>nadzor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3.125,00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71648" w:rsidRDefault="00762EB0" w:rsidP="0038334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177.175,00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107.869,13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671648" w:rsidRDefault="00762EB0" w:rsidP="00383346">
            <w:pPr>
              <w:rPr>
                <w:bCs/>
                <w:color w:val="FFFFFF" w:themeColor="background1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671648" w:rsidRDefault="00762EB0" w:rsidP="00383346">
            <w:pPr>
              <w:rPr>
                <w:b/>
                <w:bCs/>
                <w:color w:val="FFFFFF" w:themeColor="background1"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671648" w:rsidRDefault="00762EB0" w:rsidP="00383346">
            <w:pPr>
              <w:rPr>
                <w:bCs/>
                <w:color w:val="FFFFFF" w:themeColor="background1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671648" w:rsidRDefault="00762EB0" w:rsidP="00383346">
            <w:pPr>
              <w:jc w:val="right"/>
              <w:rPr>
                <w:b/>
                <w:color w:val="FFFFFF" w:themeColor="background1"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Pr="00671648" w:rsidRDefault="00762EB0" w:rsidP="00383346">
            <w:pPr>
              <w:jc w:val="right"/>
              <w:rPr>
                <w:b/>
                <w:color w:val="FFFFFF" w:themeColor="background1"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2.3.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JAVNO PROMETNE POVRŠINE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Javno prometne površine 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16.718,75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16.718,75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2.4.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OPREMA ZA JAVNE POVRŠINE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Oprema za javne površine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9.650,00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9.609,25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9.650,00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9.509,25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MJESNE PLAŽE – PLAŽA VRULJICE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27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Mjesne plaže – plaža Vruljice</w:t>
            </w:r>
          </w:p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328.750,00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328.711,20</w:t>
            </w:r>
          </w:p>
        </w:tc>
      </w:tr>
      <w:tr w:rsidR="00762EB0" w:rsidTr="00383346">
        <w:trPr>
          <w:trHeight w:val="27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61.500,00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61.500,00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Mjesne plaže- projektna dokumentacija za plažu Vruljice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750,00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391.000,00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390.961,20</w:t>
            </w: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2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2.6.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RIVA MULINA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2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D40E1" w:rsidRDefault="00762EB0" w:rsidP="00383346">
            <w:pPr>
              <w:rPr>
                <w:lang w:eastAsia="en-US"/>
              </w:rPr>
            </w:pPr>
            <w:r w:rsidRPr="002D40E1">
              <w:rPr>
                <w:lang w:eastAsia="en-US"/>
              </w:rPr>
              <w:t>Riva Mulina-projektna dokumentacija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Naknada za koncesije na pomorskom dobru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28.750,00</w:t>
            </w: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28.750,00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28.750,00</w:t>
            </w: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8E17BA" w:rsidRDefault="00762EB0" w:rsidP="0038334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UREĐENJE OBALNOG POJASA NASELJA UGRINIĆ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Ugrinić-projektna dokumentacija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Naknada za koncesije na pomorskom dobru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17.125,00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8.375,00</w:t>
            </w:r>
          </w:p>
        </w:tc>
      </w:tr>
      <w:tr w:rsidR="00762EB0" w:rsidTr="00383346">
        <w:trPr>
          <w:trHeight w:val="278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Ugrinić- radovi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462.500,00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4.483,73</w:t>
            </w:r>
          </w:p>
        </w:tc>
      </w:tr>
      <w:tr w:rsidR="00762EB0" w:rsidTr="00383346">
        <w:trPr>
          <w:trHeight w:val="27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 državnog proračuna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100.000,00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100.000,00</w:t>
            </w: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obalnog pojasa naselja Ugrinić- nadzor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17.500,00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597.125,00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112.858,73</w:t>
            </w: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762EB0" w:rsidTr="00383346">
        <w:trPr>
          <w:trHeight w:val="1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/>
                <w:lang w:eastAsia="en-US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762EB0" w:rsidTr="00383346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JAVNE PROMETNE POVRŠINE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1.292.600,00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738.863,93</w:t>
            </w:r>
          </w:p>
        </w:tc>
      </w:tr>
    </w:tbl>
    <w:p w:rsidR="00762EB0" w:rsidRPr="00DF0D6B" w:rsidRDefault="00762EB0" w:rsidP="00762EB0">
      <w:pPr>
        <w:shd w:val="clear" w:color="auto" w:fill="FFFFFF" w:themeFill="background1"/>
        <w:jc w:val="both"/>
        <w:rPr>
          <w:bCs/>
        </w:rPr>
      </w:pPr>
    </w:p>
    <w:p w:rsidR="00762EB0" w:rsidRPr="002467D3" w:rsidRDefault="00762EB0" w:rsidP="00762EB0">
      <w:p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r w:rsidRPr="002467D3">
        <w:rPr>
          <w:color w:val="000000" w:themeColor="text1"/>
          <w:sz w:val="22"/>
          <w:szCs w:val="22"/>
        </w:rPr>
        <w:t xml:space="preserve">Obrazloženje za odstupanje </w:t>
      </w:r>
      <w:r>
        <w:rPr>
          <w:color w:val="000000" w:themeColor="text1"/>
          <w:sz w:val="22"/>
          <w:szCs w:val="22"/>
        </w:rPr>
        <w:t>između planiranih sredstava i izvršenih</w:t>
      </w:r>
      <w:r w:rsidRPr="002467D3">
        <w:rPr>
          <w:color w:val="000000" w:themeColor="text1"/>
          <w:sz w:val="22"/>
          <w:szCs w:val="22"/>
        </w:rPr>
        <w:t>:</w:t>
      </w:r>
    </w:p>
    <w:p w:rsidR="00762EB0" w:rsidRPr="002467D3" w:rsidRDefault="00762EB0" w:rsidP="00762EB0">
      <w:pPr>
        <w:pStyle w:val="Odlomakpopisa"/>
        <w:numPr>
          <w:ilvl w:val="0"/>
          <w:numId w:val="14"/>
        </w:num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r w:rsidRPr="002467D3">
        <w:rPr>
          <w:color w:val="000000" w:themeColor="text1"/>
          <w:sz w:val="22"/>
          <w:szCs w:val="22"/>
        </w:rPr>
        <w:t>Za Projekt Trg Fontana Tri palme je provedena javna nabava te su radovi djelom izvršeni u 2025. godini. Proračunom su planirana sredstva sukladno ugovorenim iznosima</w:t>
      </w:r>
      <w:r>
        <w:rPr>
          <w:color w:val="000000" w:themeColor="text1"/>
          <w:sz w:val="22"/>
          <w:szCs w:val="22"/>
        </w:rPr>
        <w:t>, a d</w:t>
      </w:r>
      <w:r w:rsidRPr="002467D3">
        <w:rPr>
          <w:color w:val="000000" w:themeColor="text1"/>
          <w:sz w:val="22"/>
          <w:szCs w:val="22"/>
        </w:rPr>
        <w:t>ovršetak projekta je planiran za 2026. godinu.</w:t>
      </w:r>
    </w:p>
    <w:p w:rsidR="00762EB0" w:rsidRPr="002467D3" w:rsidRDefault="00762EB0" w:rsidP="00762EB0">
      <w:pPr>
        <w:pStyle w:val="Odlomakpopisa"/>
        <w:numPr>
          <w:ilvl w:val="0"/>
          <w:numId w:val="14"/>
        </w:numPr>
        <w:shd w:val="clear" w:color="auto" w:fill="FFFFFF" w:themeFill="background1"/>
        <w:jc w:val="both"/>
        <w:rPr>
          <w:color w:val="000000" w:themeColor="text1"/>
          <w:sz w:val="22"/>
          <w:szCs w:val="22"/>
        </w:rPr>
      </w:pPr>
      <w:r w:rsidRPr="002467D3">
        <w:rPr>
          <w:color w:val="000000" w:themeColor="text1"/>
          <w:sz w:val="22"/>
          <w:szCs w:val="22"/>
        </w:rPr>
        <w:t>Za Projekt uređenje obalnog pojasa naselja Ugrinić je provedena javna nabava te su radovi djelom izvršeni u 2025. godini. Proračunom su planirana sredstva sukladno ugovorenim iznosima</w:t>
      </w:r>
      <w:r>
        <w:rPr>
          <w:color w:val="000000" w:themeColor="text1"/>
          <w:sz w:val="22"/>
          <w:szCs w:val="22"/>
        </w:rPr>
        <w:t>, a d</w:t>
      </w:r>
      <w:r w:rsidRPr="002467D3">
        <w:rPr>
          <w:color w:val="000000" w:themeColor="text1"/>
          <w:sz w:val="22"/>
          <w:szCs w:val="22"/>
        </w:rPr>
        <w:t>ovršetak projekta je planiran za 2026. godinu.</w:t>
      </w:r>
    </w:p>
    <w:p w:rsidR="00762EB0" w:rsidRDefault="00762EB0" w:rsidP="00762EB0">
      <w:pPr>
        <w:jc w:val="both"/>
        <w:rPr>
          <w:b/>
          <w:bCs/>
        </w:rPr>
      </w:pPr>
    </w:p>
    <w:p w:rsidR="00762EB0" w:rsidRDefault="00762EB0" w:rsidP="00762EB0">
      <w:p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3. Javne zelene površine</w:t>
      </w:r>
    </w:p>
    <w:p w:rsidR="00762EB0" w:rsidRDefault="00762EB0" w:rsidP="00762EB0">
      <w:pPr>
        <w:shd w:val="clear" w:color="auto" w:fill="FFFFFF" w:themeFill="background1"/>
        <w:jc w:val="both"/>
        <w:rPr>
          <w:bCs/>
        </w:rPr>
      </w:pPr>
    </w:p>
    <w:tbl>
      <w:tblPr>
        <w:tblStyle w:val="Reetkatablice"/>
        <w:tblW w:w="9094" w:type="dxa"/>
        <w:tblInd w:w="-34" w:type="dxa"/>
        <w:tblLook w:val="04A0" w:firstRow="1" w:lastRow="0" w:firstColumn="1" w:lastColumn="0" w:noHBand="0" w:noVBand="1"/>
      </w:tblPr>
      <w:tblGrid>
        <w:gridCol w:w="708"/>
        <w:gridCol w:w="2862"/>
        <w:gridCol w:w="2409"/>
        <w:gridCol w:w="1559"/>
        <w:gridCol w:w="1556"/>
      </w:tblGrid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IZVRŠENJE 2025.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DJEČJE IGRALIŠTE-KUŠNJAK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467D3" w:rsidRDefault="00762EB0" w:rsidP="00383346">
            <w:pPr>
              <w:rPr>
                <w:bCs/>
                <w:color w:val="000000" w:themeColor="text1"/>
                <w:lang w:eastAsia="en-US"/>
              </w:rPr>
            </w:pPr>
          </w:p>
        </w:tc>
      </w:tr>
      <w:tr w:rsidR="00762EB0" w:rsidTr="00383346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E80AAD" w:rsidRDefault="00762EB0" w:rsidP="00383346">
            <w:pPr>
              <w:rPr>
                <w:lang w:eastAsia="en-US"/>
              </w:rPr>
            </w:pPr>
            <w:r w:rsidRPr="00E80AAD">
              <w:rPr>
                <w:lang w:eastAsia="en-US"/>
              </w:rPr>
              <w:t>Dječje igralište Kušnjak-radovi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215A8" w:rsidRDefault="00762EB0" w:rsidP="00383346">
            <w:pPr>
              <w:rPr>
                <w:lang w:eastAsia="en-US"/>
              </w:rPr>
            </w:pPr>
            <w:r w:rsidRPr="002215A8">
              <w:rPr>
                <w:lang w:eastAsia="en-US"/>
              </w:rPr>
              <w:t>Vlastiti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215A8" w:rsidRDefault="00762EB0" w:rsidP="0038334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73.778,00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467D3" w:rsidRDefault="00762EB0" w:rsidP="00383346">
            <w:pPr>
              <w:jc w:val="right"/>
              <w:rPr>
                <w:color w:val="000000" w:themeColor="text1"/>
                <w:lang w:eastAsia="en-US"/>
              </w:rPr>
            </w:pPr>
            <w:r w:rsidRPr="002467D3">
              <w:rPr>
                <w:color w:val="000000" w:themeColor="text1"/>
                <w:lang w:eastAsia="en-US"/>
              </w:rPr>
              <w:t>33.205,80</w:t>
            </w:r>
          </w:p>
        </w:tc>
      </w:tr>
      <w:tr w:rsidR="00762EB0" w:rsidTr="00383346">
        <w:trPr>
          <w:trHeight w:val="27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E80AAD" w:rsidRDefault="00762EB0" w:rsidP="0038334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215A8" w:rsidRDefault="00762EB0" w:rsidP="00383346">
            <w:pPr>
              <w:rPr>
                <w:lang w:eastAsia="en-US"/>
              </w:rPr>
            </w:pPr>
            <w:r>
              <w:rPr>
                <w:lang w:eastAsia="en-US"/>
              </w:rPr>
              <w:t>Kapitalne pomoći iz državnog proračuna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41.952,00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467D3" w:rsidRDefault="00762EB0" w:rsidP="00383346">
            <w:pPr>
              <w:jc w:val="right"/>
              <w:rPr>
                <w:color w:val="000000" w:themeColor="text1"/>
                <w:lang w:eastAsia="en-US"/>
              </w:rPr>
            </w:pPr>
            <w:r w:rsidRPr="002467D3">
              <w:rPr>
                <w:color w:val="000000" w:themeColor="text1"/>
                <w:lang w:eastAsia="en-US"/>
              </w:rPr>
              <w:t>0,00</w:t>
            </w:r>
          </w:p>
        </w:tc>
      </w:tr>
      <w:tr w:rsidR="00762EB0" w:rsidRPr="00B77E80" w:rsidTr="00383346">
        <w:trPr>
          <w:trHeight w:val="2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E80AAD" w:rsidRDefault="00762EB0" w:rsidP="00383346">
            <w:pPr>
              <w:rPr>
                <w:lang w:eastAsia="en-US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lang w:eastAsia="en-US"/>
              </w:rPr>
            </w:pPr>
            <w:r>
              <w:rPr>
                <w:lang w:eastAsia="en-US"/>
              </w:rPr>
              <w:t>Prihodi od donacija pravnih osoba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10.000,00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467D3" w:rsidRDefault="00762EB0" w:rsidP="00383346">
            <w:pPr>
              <w:jc w:val="right"/>
              <w:rPr>
                <w:color w:val="000000" w:themeColor="text1"/>
                <w:lang w:eastAsia="en-US"/>
              </w:rPr>
            </w:pPr>
            <w:r w:rsidRPr="002467D3">
              <w:rPr>
                <w:color w:val="000000" w:themeColor="text1"/>
                <w:lang w:eastAsia="en-US"/>
              </w:rPr>
              <w:t>9.695,00</w:t>
            </w:r>
          </w:p>
        </w:tc>
      </w:tr>
      <w:tr w:rsidR="00762EB0" w:rsidRPr="00B77E8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125.730,00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2467D3" w:rsidRDefault="00762EB0" w:rsidP="00383346">
            <w:pPr>
              <w:jc w:val="right"/>
              <w:rPr>
                <w:b/>
                <w:bCs/>
                <w:color w:val="000000" w:themeColor="text1"/>
                <w:lang w:eastAsia="en-US"/>
              </w:rPr>
            </w:pPr>
            <w:r w:rsidRPr="002467D3">
              <w:rPr>
                <w:b/>
                <w:bCs/>
                <w:color w:val="000000" w:themeColor="text1"/>
                <w:lang w:eastAsia="en-US"/>
              </w:rPr>
              <w:t>42.900,80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3.2.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DJEČJE IGRALIŠTE-UGRINIĆ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Dječje igralište Ugrinić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Naknade za koncesije na pomorskom dobru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19.850,00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19.841,90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19.850,00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19.841,90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JAVNE ZELENE POVRŠINE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145.580,00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62.742,70</w:t>
            </w:r>
          </w:p>
        </w:tc>
      </w:tr>
    </w:tbl>
    <w:p w:rsidR="00762EB0" w:rsidRDefault="00762EB0" w:rsidP="00762EB0">
      <w:pPr>
        <w:jc w:val="both"/>
        <w:rPr>
          <w:bCs/>
        </w:rPr>
      </w:pPr>
    </w:p>
    <w:p w:rsidR="00762EB0" w:rsidRDefault="00762EB0" w:rsidP="00762EB0">
      <w:pPr>
        <w:jc w:val="both"/>
        <w:rPr>
          <w:bCs/>
        </w:rPr>
      </w:pPr>
      <w:r>
        <w:rPr>
          <w:bCs/>
        </w:rPr>
        <w:t>Obrazloženje odstupanja između planiranih sredstava i izvršenih:</w:t>
      </w:r>
    </w:p>
    <w:p w:rsidR="00762EB0" w:rsidRDefault="00762EB0" w:rsidP="00762EB0">
      <w:pPr>
        <w:pStyle w:val="Odlomakpopisa"/>
        <w:numPr>
          <w:ilvl w:val="0"/>
          <w:numId w:val="17"/>
        </w:numPr>
        <w:jc w:val="both"/>
        <w:rPr>
          <w:bCs/>
        </w:rPr>
      </w:pPr>
      <w:r w:rsidRPr="002467D3">
        <w:rPr>
          <w:bCs/>
        </w:rPr>
        <w:t>Projekt Dječje igralište Kušnjak je započet te je za isti provedena javna nabava tijekom 2025. godine. Sredstva su planirana u ugovorenim iznosima</w:t>
      </w:r>
      <w:r>
        <w:rPr>
          <w:bCs/>
        </w:rPr>
        <w:t xml:space="preserve">, a dovršetak projekta se očekuje tijekom 2026. godine. </w:t>
      </w:r>
    </w:p>
    <w:p w:rsidR="00762EB0" w:rsidRPr="002467D3" w:rsidRDefault="00762EB0" w:rsidP="00762EB0">
      <w:pPr>
        <w:pStyle w:val="Odlomakpopisa"/>
        <w:jc w:val="both"/>
        <w:rPr>
          <w:bCs/>
        </w:rPr>
      </w:pPr>
    </w:p>
    <w:p w:rsidR="00762EB0" w:rsidRDefault="00762EB0" w:rsidP="00762EB0">
      <w:pPr>
        <w:jc w:val="both"/>
        <w:rPr>
          <w:b/>
          <w:bCs/>
        </w:rPr>
      </w:pPr>
      <w:r>
        <w:rPr>
          <w:bCs/>
        </w:rPr>
        <w:t>4</w:t>
      </w:r>
      <w:r>
        <w:rPr>
          <w:b/>
          <w:bCs/>
        </w:rPr>
        <w:t>. Građevine i uređaji javne namjene</w:t>
      </w:r>
    </w:p>
    <w:p w:rsidR="00762EB0" w:rsidRDefault="00762EB0" w:rsidP="00762EB0">
      <w:pPr>
        <w:jc w:val="both"/>
        <w:rPr>
          <w:bCs/>
        </w:rPr>
      </w:pPr>
    </w:p>
    <w:tbl>
      <w:tblPr>
        <w:tblStyle w:val="Reetkatablice"/>
        <w:tblW w:w="8817" w:type="dxa"/>
        <w:tblInd w:w="-34" w:type="dxa"/>
        <w:tblLook w:val="04A0" w:firstRow="1" w:lastRow="0" w:firstColumn="1" w:lastColumn="0" w:noHBand="0" w:noVBand="1"/>
      </w:tblPr>
      <w:tblGrid>
        <w:gridCol w:w="708"/>
        <w:gridCol w:w="2865"/>
        <w:gridCol w:w="2410"/>
        <w:gridCol w:w="1417"/>
        <w:gridCol w:w="1417"/>
      </w:tblGrid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IZVRŠENJE 2025.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PAMETNA RJEŠENJA, JAVNA RASVJETA I E-BICIKLE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Pametna rješenja – javna rasvjeta i e-bicikle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3.125,00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3.125,00</w:t>
            </w: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</w:tc>
      </w:tr>
      <w:tr w:rsidR="00762EB0" w:rsidTr="0038334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UKUPNO GRAĐ. I UREĐ. JAVNE NAMJENE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3.125,00</w:t>
            </w:r>
          </w:p>
        </w:tc>
      </w:tr>
    </w:tbl>
    <w:p w:rsidR="00762EB0" w:rsidRDefault="00762EB0" w:rsidP="00762EB0">
      <w:pPr>
        <w:jc w:val="both"/>
        <w:rPr>
          <w:bCs/>
        </w:rPr>
      </w:pPr>
    </w:p>
    <w:p w:rsidR="00762EB0" w:rsidRDefault="00762EB0" w:rsidP="00762EB0">
      <w:pPr>
        <w:jc w:val="both"/>
        <w:rPr>
          <w:bCs/>
        </w:rPr>
      </w:pPr>
    </w:p>
    <w:p w:rsidR="00762EB0" w:rsidRDefault="00762EB0" w:rsidP="00762EB0">
      <w:pPr>
        <w:jc w:val="both"/>
        <w:rPr>
          <w:b/>
          <w:bCs/>
        </w:rPr>
      </w:pPr>
      <w:r>
        <w:rPr>
          <w:b/>
          <w:bCs/>
        </w:rPr>
        <w:lastRenderedPageBreak/>
        <w:t>B) GRAĐEVINE KOMUNALNE INFRASTRUKTURE KOJE ĆE SE GRADITI IZVAN GRAĐEVINSKOG PODRUČJA</w:t>
      </w:r>
    </w:p>
    <w:p w:rsidR="00762EB0" w:rsidRDefault="00762EB0" w:rsidP="00762EB0">
      <w:pPr>
        <w:jc w:val="both"/>
      </w:pPr>
    </w:p>
    <w:p w:rsidR="00762EB0" w:rsidRPr="00504565" w:rsidRDefault="00762EB0" w:rsidP="00762EB0">
      <w:pPr>
        <w:jc w:val="both"/>
      </w:pPr>
    </w:p>
    <w:p w:rsidR="00762EB0" w:rsidRDefault="00762EB0" w:rsidP="00762EB0">
      <w:pPr>
        <w:jc w:val="both"/>
        <w:rPr>
          <w:b/>
          <w:bCs/>
        </w:rPr>
      </w:pPr>
      <w:r>
        <w:rPr>
          <w:b/>
          <w:bCs/>
        </w:rPr>
        <w:t>1. Javne prometne površine na kojima nije dopušten promet motornih vozila</w:t>
      </w:r>
    </w:p>
    <w:p w:rsidR="00762EB0" w:rsidRDefault="00762EB0" w:rsidP="00762EB0">
      <w:pPr>
        <w:spacing w:line="276" w:lineRule="auto"/>
        <w:jc w:val="center"/>
        <w:rPr>
          <w:b/>
          <w:bCs/>
        </w:rPr>
      </w:pPr>
    </w:p>
    <w:tbl>
      <w:tblPr>
        <w:tblStyle w:val="Reetkatablice"/>
        <w:tblW w:w="8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9"/>
        <w:gridCol w:w="2732"/>
        <w:gridCol w:w="2552"/>
        <w:gridCol w:w="1417"/>
        <w:gridCol w:w="1418"/>
      </w:tblGrid>
      <w:tr w:rsidR="00762EB0" w:rsidTr="00383346">
        <w:trPr>
          <w:trHeight w:val="1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Red. br.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PROJEKT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IZVOR FINANCIRANJA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B0" w:rsidRPr="007630B5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7630B5">
              <w:rPr>
                <w:b/>
                <w:bCs/>
                <w:sz w:val="20"/>
                <w:szCs w:val="20"/>
                <w:lang w:eastAsia="en-US"/>
              </w:rPr>
              <w:t>PLANIRANI IZNOS (EUR)</w:t>
            </w:r>
          </w:p>
        </w:tc>
        <w:tc>
          <w:tcPr>
            <w:tcW w:w="1418" w:type="dxa"/>
          </w:tcPr>
          <w:p w:rsidR="00762EB0" w:rsidRDefault="00762EB0" w:rsidP="00383346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IZVRŠENJE 2025.</w:t>
            </w:r>
          </w:p>
        </w:tc>
      </w:tr>
      <w:tr w:rsidR="00762EB0" w:rsidTr="00383346">
        <w:trPr>
          <w:trHeight w:val="1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62EB0" w:rsidRDefault="00762EB0" w:rsidP="00383346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UREĐENJE BICIKLISTIČKIH STAZA I VIDIKOVACA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bCs/>
                <w:lang w:eastAsia="en-US"/>
              </w:rPr>
            </w:pPr>
          </w:p>
        </w:tc>
      </w:tr>
      <w:tr w:rsidR="00762EB0" w:rsidTr="00383346">
        <w:trPr>
          <w:trHeight w:val="318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vidikovaca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1.893,66</w:t>
            </w:r>
          </w:p>
        </w:tc>
      </w:tr>
      <w:tr w:rsidR="00762EB0" w:rsidTr="00383346">
        <w:trPr>
          <w:trHeight w:val="238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Kapitalne pomoći iz</w:t>
            </w:r>
          </w:p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državnog proračuna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</w:p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50.000,00</w:t>
            </w:r>
          </w:p>
        </w:tc>
      </w:tr>
      <w:tr w:rsidR="00762EB0" w:rsidTr="00383346">
        <w:trPr>
          <w:trHeight w:val="2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Uređenje vidikovaca-nadzor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Vlastiti prihodi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0,00</w:t>
            </w:r>
          </w:p>
        </w:tc>
      </w:tr>
      <w:tr w:rsidR="00762EB0" w:rsidTr="00383346">
        <w:trPr>
          <w:trHeight w:val="2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Projektno tehnička dokumentacija – vidikovci i biciklističke staze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Komunalni doprinos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1.000,00</w:t>
            </w:r>
          </w:p>
        </w:tc>
      </w:tr>
      <w:tr w:rsidR="00762EB0" w:rsidRPr="00647A9C" w:rsidTr="00383346">
        <w:trPr>
          <w:trHeight w:val="1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47A9C" w:rsidRDefault="00762EB0" w:rsidP="00383346">
            <w:pPr>
              <w:rPr>
                <w:b/>
                <w:lang w:eastAsia="en-US"/>
              </w:rPr>
            </w:pPr>
            <w:r w:rsidRPr="00647A9C">
              <w:rPr>
                <w:b/>
                <w:lang w:eastAsia="en-US"/>
              </w:rPr>
              <w:t>UKUPNO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rPr>
                <w:bCs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Pr="00647A9C" w:rsidRDefault="00762EB0" w:rsidP="0038334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90.100,00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2EB0" w:rsidRDefault="00762EB0" w:rsidP="0038334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52.893,66</w:t>
            </w:r>
          </w:p>
        </w:tc>
      </w:tr>
    </w:tbl>
    <w:p w:rsidR="00762EB0" w:rsidRDefault="00762EB0" w:rsidP="00762EB0">
      <w:pPr>
        <w:spacing w:line="276" w:lineRule="auto"/>
        <w:rPr>
          <w:b/>
          <w:bCs/>
        </w:rPr>
      </w:pPr>
    </w:p>
    <w:p w:rsidR="00762EB0" w:rsidRDefault="00762EB0" w:rsidP="00762EB0">
      <w:pPr>
        <w:jc w:val="both"/>
        <w:rPr>
          <w:bCs/>
        </w:rPr>
      </w:pPr>
    </w:p>
    <w:p w:rsidR="00762EB0" w:rsidRDefault="00762EB0" w:rsidP="00762EB0">
      <w:pPr>
        <w:jc w:val="both"/>
        <w:rPr>
          <w:bCs/>
        </w:rPr>
      </w:pPr>
      <w:r>
        <w:rPr>
          <w:bCs/>
        </w:rPr>
        <w:t>Obrazloženje odstupanja između planiranih sredstava i izvršenih:</w:t>
      </w:r>
    </w:p>
    <w:p w:rsidR="00762EB0" w:rsidRPr="002467D3" w:rsidRDefault="00762EB0" w:rsidP="00762EB0">
      <w:pPr>
        <w:pStyle w:val="Odlomakpopisa"/>
        <w:numPr>
          <w:ilvl w:val="0"/>
          <w:numId w:val="18"/>
        </w:numPr>
        <w:spacing w:line="276" w:lineRule="auto"/>
        <w:jc w:val="both"/>
        <w:rPr>
          <w:b/>
          <w:bCs/>
        </w:rPr>
      </w:pPr>
      <w:r w:rsidRPr="002467D3">
        <w:rPr>
          <w:bCs/>
        </w:rPr>
        <w:t xml:space="preserve">Projekt Uređenje vidikovaca je započet te je za isti provedena javna nabava tijekom 2025. godine. Sredstva su planirana u ugovorenim iznosima, a </w:t>
      </w:r>
      <w:r>
        <w:rPr>
          <w:bCs/>
        </w:rPr>
        <w:t>projekt je dovršen u 2026. godini.</w:t>
      </w:r>
    </w:p>
    <w:p w:rsidR="00762EB0" w:rsidRDefault="00762EB0" w:rsidP="00762EB0">
      <w:pPr>
        <w:spacing w:line="276" w:lineRule="auto"/>
        <w:jc w:val="center"/>
        <w:rPr>
          <w:b/>
          <w:bCs/>
        </w:rPr>
      </w:pPr>
    </w:p>
    <w:p w:rsidR="00762EB0" w:rsidRDefault="00762EB0" w:rsidP="00762EB0">
      <w:pPr>
        <w:ind w:firstLine="708"/>
        <w:jc w:val="center"/>
        <w:rPr>
          <w:b/>
          <w:bCs/>
          <w:sz w:val="22"/>
          <w:szCs w:val="22"/>
        </w:rPr>
      </w:pPr>
    </w:p>
    <w:p w:rsidR="00762EB0" w:rsidRPr="00F408C6" w:rsidRDefault="00762EB0" w:rsidP="00762EB0">
      <w:pPr>
        <w:ind w:firstLine="708"/>
        <w:jc w:val="center"/>
        <w:rPr>
          <w:b/>
          <w:bCs/>
          <w:sz w:val="22"/>
          <w:szCs w:val="22"/>
        </w:rPr>
      </w:pPr>
      <w:r w:rsidRPr="00F408C6">
        <w:rPr>
          <w:b/>
          <w:bCs/>
          <w:sz w:val="22"/>
          <w:szCs w:val="22"/>
        </w:rPr>
        <w:t>Članak 3.</w:t>
      </w:r>
    </w:p>
    <w:p w:rsidR="00762EB0" w:rsidRPr="00C55504" w:rsidRDefault="00762EB0" w:rsidP="00762EB0">
      <w:pPr>
        <w:ind w:firstLine="360"/>
        <w:jc w:val="both"/>
        <w:rPr>
          <w:sz w:val="22"/>
          <w:szCs w:val="22"/>
        </w:rPr>
      </w:pPr>
      <w:r w:rsidRPr="00C55504">
        <w:rPr>
          <w:sz w:val="22"/>
          <w:szCs w:val="22"/>
        </w:rPr>
        <w:t>Ovo Izvješće građenja komunalne infrastrukture na području Općine Tkon za  202</w:t>
      </w:r>
      <w:r>
        <w:rPr>
          <w:sz w:val="22"/>
          <w:szCs w:val="22"/>
        </w:rPr>
        <w:t>5</w:t>
      </w:r>
      <w:r w:rsidRPr="00C55504">
        <w:rPr>
          <w:sz w:val="22"/>
          <w:szCs w:val="22"/>
        </w:rPr>
        <w:t>. godinu stupa na snagu osmog dana od dana objave, a objavit  će se u „Službenom glasniku Općine Tkon“.</w:t>
      </w:r>
    </w:p>
    <w:p w:rsidR="00762EB0" w:rsidRPr="00C55504" w:rsidRDefault="00762EB0" w:rsidP="00762EB0">
      <w:pPr>
        <w:jc w:val="both"/>
        <w:rPr>
          <w:sz w:val="22"/>
          <w:szCs w:val="22"/>
        </w:rPr>
      </w:pPr>
    </w:p>
    <w:p w:rsidR="00762EB0" w:rsidRPr="00F408C6" w:rsidRDefault="00762EB0" w:rsidP="00762EB0">
      <w:pPr>
        <w:ind w:left="360"/>
        <w:jc w:val="right"/>
        <w:rPr>
          <w:sz w:val="22"/>
          <w:szCs w:val="22"/>
        </w:rPr>
      </w:pPr>
      <w:r w:rsidRPr="00F408C6">
        <w:rPr>
          <w:sz w:val="22"/>
          <w:szCs w:val="22"/>
        </w:rPr>
        <w:t>OPĆINSKO VIJEĆE OPĆINE TKON</w:t>
      </w:r>
      <w:r w:rsidRPr="00F408C6">
        <w:rPr>
          <w:sz w:val="22"/>
          <w:szCs w:val="22"/>
        </w:rPr>
        <w:br/>
        <w:t xml:space="preserve">Predsjednica </w:t>
      </w:r>
    </w:p>
    <w:p w:rsidR="00762EB0" w:rsidRPr="00F408C6" w:rsidRDefault="00762EB0" w:rsidP="00762EB0">
      <w:pPr>
        <w:ind w:left="360"/>
        <w:jc w:val="right"/>
        <w:rPr>
          <w:sz w:val="22"/>
          <w:szCs w:val="22"/>
        </w:rPr>
      </w:pPr>
      <w:r w:rsidRPr="00F408C6">
        <w:rPr>
          <w:sz w:val="22"/>
          <w:szCs w:val="22"/>
        </w:rPr>
        <w:t>Andrea Ugrinić Gotovina</w:t>
      </w:r>
      <w:bookmarkEnd w:id="0"/>
    </w:p>
    <w:sectPr w:rsidR="00762EB0" w:rsidRPr="00F408C6" w:rsidSect="00032F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467BF"/>
    <w:multiLevelType w:val="hybridMultilevel"/>
    <w:tmpl w:val="289EB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536E"/>
    <w:multiLevelType w:val="hybridMultilevel"/>
    <w:tmpl w:val="FF922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944"/>
    <w:multiLevelType w:val="multilevel"/>
    <w:tmpl w:val="5C5E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AA1DA8"/>
    <w:multiLevelType w:val="hybridMultilevel"/>
    <w:tmpl w:val="60E6E4D0"/>
    <w:lvl w:ilvl="0" w:tplc="3454E3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1EF4"/>
    <w:multiLevelType w:val="multilevel"/>
    <w:tmpl w:val="FC64228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B145869"/>
    <w:multiLevelType w:val="hybridMultilevel"/>
    <w:tmpl w:val="18FAA558"/>
    <w:lvl w:ilvl="0" w:tplc="B2563AD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D2D63FB"/>
    <w:multiLevelType w:val="multilevel"/>
    <w:tmpl w:val="90F8E47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D902324"/>
    <w:multiLevelType w:val="multilevel"/>
    <w:tmpl w:val="9DC64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124827"/>
    <w:multiLevelType w:val="hybridMultilevel"/>
    <w:tmpl w:val="CAC2F7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FE3A73"/>
    <w:multiLevelType w:val="hybridMultilevel"/>
    <w:tmpl w:val="B584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20414"/>
    <w:multiLevelType w:val="hybridMultilevel"/>
    <w:tmpl w:val="6624C7F2"/>
    <w:lvl w:ilvl="0" w:tplc="8BA47E6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2515C3"/>
    <w:multiLevelType w:val="multilevel"/>
    <w:tmpl w:val="06C86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B7A5A11"/>
    <w:multiLevelType w:val="hybridMultilevel"/>
    <w:tmpl w:val="938856AA"/>
    <w:lvl w:ilvl="0" w:tplc="C5500F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74E23"/>
    <w:multiLevelType w:val="hybridMultilevel"/>
    <w:tmpl w:val="B41892F4"/>
    <w:lvl w:ilvl="0" w:tplc="0CD6B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F4B02"/>
    <w:multiLevelType w:val="hybridMultilevel"/>
    <w:tmpl w:val="9B14D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765DB"/>
    <w:multiLevelType w:val="hybridMultilevel"/>
    <w:tmpl w:val="021429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BF"/>
    <w:rsid w:val="000116C4"/>
    <w:rsid w:val="00032F98"/>
    <w:rsid w:val="00041F2D"/>
    <w:rsid w:val="00045642"/>
    <w:rsid w:val="0007389E"/>
    <w:rsid w:val="0007420D"/>
    <w:rsid w:val="000755F4"/>
    <w:rsid w:val="00075645"/>
    <w:rsid w:val="00083C9A"/>
    <w:rsid w:val="000A5F08"/>
    <w:rsid w:val="000F5081"/>
    <w:rsid w:val="000F7533"/>
    <w:rsid w:val="0012426B"/>
    <w:rsid w:val="001506BF"/>
    <w:rsid w:val="001B07B0"/>
    <w:rsid w:val="001C72D3"/>
    <w:rsid w:val="002168CE"/>
    <w:rsid w:val="0024213A"/>
    <w:rsid w:val="0024783B"/>
    <w:rsid w:val="0026538F"/>
    <w:rsid w:val="00272A48"/>
    <w:rsid w:val="002A4A93"/>
    <w:rsid w:val="002A4AC9"/>
    <w:rsid w:val="002C36BE"/>
    <w:rsid w:val="002D0628"/>
    <w:rsid w:val="002D3EC3"/>
    <w:rsid w:val="002E5698"/>
    <w:rsid w:val="002E600D"/>
    <w:rsid w:val="00302CB6"/>
    <w:rsid w:val="0033263B"/>
    <w:rsid w:val="003500F4"/>
    <w:rsid w:val="00373CA5"/>
    <w:rsid w:val="0037474D"/>
    <w:rsid w:val="0039011C"/>
    <w:rsid w:val="003B0F66"/>
    <w:rsid w:val="0041375B"/>
    <w:rsid w:val="00414CCC"/>
    <w:rsid w:val="00415ABE"/>
    <w:rsid w:val="00435AA0"/>
    <w:rsid w:val="00453026"/>
    <w:rsid w:val="00455FBF"/>
    <w:rsid w:val="00457E2C"/>
    <w:rsid w:val="0047266E"/>
    <w:rsid w:val="00473DD9"/>
    <w:rsid w:val="004A04E8"/>
    <w:rsid w:val="004A54F9"/>
    <w:rsid w:val="004D6AFA"/>
    <w:rsid w:val="004E08F6"/>
    <w:rsid w:val="004E7E86"/>
    <w:rsid w:val="00501C36"/>
    <w:rsid w:val="00517984"/>
    <w:rsid w:val="005210F9"/>
    <w:rsid w:val="005425A4"/>
    <w:rsid w:val="00566189"/>
    <w:rsid w:val="0057727F"/>
    <w:rsid w:val="00580D71"/>
    <w:rsid w:val="00586078"/>
    <w:rsid w:val="00591C23"/>
    <w:rsid w:val="005B4C9D"/>
    <w:rsid w:val="005F4B4E"/>
    <w:rsid w:val="006177B6"/>
    <w:rsid w:val="006324CD"/>
    <w:rsid w:val="006348F2"/>
    <w:rsid w:val="00650E4C"/>
    <w:rsid w:val="006718E3"/>
    <w:rsid w:val="006A48A3"/>
    <w:rsid w:val="006B0715"/>
    <w:rsid w:val="006B1629"/>
    <w:rsid w:val="006C47F6"/>
    <w:rsid w:val="006F1B55"/>
    <w:rsid w:val="007016FD"/>
    <w:rsid w:val="007127D9"/>
    <w:rsid w:val="00723879"/>
    <w:rsid w:val="00762EB0"/>
    <w:rsid w:val="00764C81"/>
    <w:rsid w:val="00773377"/>
    <w:rsid w:val="00774BD0"/>
    <w:rsid w:val="00781533"/>
    <w:rsid w:val="007961A8"/>
    <w:rsid w:val="007F00EA"/>
    <w:rsid w:val="008073AF"/>
    <w:rsid w:val="00833FC8"/>
    <w:rsid w:val="00857435"/>
    <w:rsid w:val="00861275"/>
    <w:rsid w:val="00875CFA"/>
    <w:rsid w:val="008819CB"/>
    <w:rsid w:val="00887E80"/>
    <w:rsid w:val="00894A7B"/>
    <w:rsid w:val="008A466C"/>
    <w:rsid w:val="008B2ECB"/>
    <w:rsid w:val="008C5997"/>
    <w:rsid w:val="008E039C"/>
    <w:rsid w:val="008F4E8A"/>
    <w:rsid w:val="009201B7"/>
    <w:rsid w:val="009248D1"/>
    <w:rsid w:val="009560F4"/>
    <w:rsid w:val="00980EA1"/>
    <w:rsid w:val="00986C37"/>
    <w:rsid w:val="009914B9"/>
    <w:rsid w:val="009B6B5E"/>
    <w:rsid w:val="009C3A35"/>
    <w:rsid w:val="009C5A7A"/>
    <w:rsid w:val="009F5FEA"/>
    <w:rsid w:val="00A15122"/>
    <w:rsid w:val="00A7567C"/>
    <w:rsid w:val="00AA1B19"/>
    <w:rsid w:val="00AB3482"/>
    <w:rsid w:val="00B06007"/>
    <w:rsid w:val="00B10F49"/>
    <w:rsid w:val="00B16806"/>
    <w:rsid w:val="00B30638"/>
    <w:rsid w:val="00B5141B"/>
    <w:rsid w:val="00BA36EB"/>
    <w:rsid w:val="00BA3926"/>
    <w:rsid w:val="00BB179A"/>
    <w:rsid w:val="00BC0FEF"/>
    <w:rsid w:val="00C051F4"/>
    <w:rsid w:val="00C15347"/>
    <w:rsid w:val="00C44CD3"/>
    <w:rsid w:val="00C45DD4"/>
    <w:rsid w:val="00C53D5D"/>
    <w:rsid w:val="00C55504"/>
    <w:rsid w:val="00C578CB"/>
    <w:rsid w:val="00C836C9"/>
    <w:rsid w:val="00C84D82"/>
    <w:rsid w:val="00CA0D1C"/>
    <w:rsid w:val="00CB61C5"/>
    <w:rsid w:val="00CE6620"/>
    <w:rsid w:val="00CF0592"/>
    <w:rsid w:val="00D33407"/>
    <w:rsid w:val="00D43132"/>
    <w:rsid w:val="00D65DEC"/>
    <w:rsid w:val="00DA096F"/>
    <w:rsid w:val="00DA5636"/>
    <w:rsid w:val="00DC0F34"/>
    <w:rsid w:val="00DC281B"/>
    <w:rsid w:val="00DC630F"/>
    <w:rsid w:val="00DE1B8B"/>
    <w:rsid w:val="00E74D50"/>
    <w:rsid w:val="00E81341"/>
    <w:rsid w:val="00E81A1A"/>
    <w:rsid w:val="00E90EB1"/>
    <w:rsid w:val="00EA478E"/>
    <w:rsid w:val="00EA4CB5"/>
    <w:rsid w:val="00F029C5"/>
    <w:rsid w:val="00F16654"/>
    <w:rsid w:val="00F231DC"/>
    <w:rsid w:val="00F25161"/>
    <w:rsid w:val="00F30F5C"/>
    <w:rsid w:val="00F3795E"/>
    <w:rsid w:val="00F408C6"/>
    <w:rsid w:val="00F5048C"/>
    <w:rsid w:val="00F52270"/>
    <w:rsid w:val="00F53E26"/>
    <w:rsid w:val="00F63520"/>
    <w:rsid w:val="00F74572"/>
    <w:rsid w:val="00FA50C2"/>
    <w:rsid w:val="00FB38C2"/>
    <w:rsid w:val="00FF483C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F945"/>
  <w15:docId w15:val="{20C0F612-6161-4209-96AE-48ACF8C7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506BF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506BF"/>
    <w:rPr>
      <w:rFonts w:ascii="Arial" w:eastAsia="Times New Roman" w:hAnsi="Arial" w:cs="Arial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1506BF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12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1275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07B0"/>
    <w:pPr>
      <w:ind w:left="720"/>
      <w:contextualSpacing/>
    </w:pPr>
  </w:style>
  <w:style w:type="table" w:styleId="Reetkatablice">
    <w:name w:val="Table Grid"/>
    <w:basedOn w:val="Obinatablica"/>
    <w:uiPriority w:val="39"/>
    <w:rsid w:val="006B071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D50C-BB0E-4180-B265-2888B282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Vesna</cp:lastModifiedBy>
  <cp:revision>25</cp:revision>
  <cp:lastPrinted>2024-06-24T06:18:00Z</cp:lastPrinted>
  <dcterms:created xsi:type="dcterms:W3CDTF">2025-03-04T08:14:00Z</dcterms:created>
  <dcterms:modified xsi:type="dcterms:W3CDTF">2026-06-18T08:40:00Z</dcterms:modified>
</cp:coreProperties>
</file>