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DB1E1" w14:textId="0E971909" w:rsidR="000260A2" w:rsidRDefault="000260A2" w:rsidP="000260A2">
      <w:pPr>
        <w:pStyle w:val="Bezproreda"/>
        <w:spacing w:line="276" w:lineRule="auto"/>
        <w:ind w:firstLine="708"/>
        <w:jc w:val="both"/>
        <w:rPr>
          <w:rFonts w:ascii="Times New Roman" w:hAnsi="Times New Roman" w:cs="Times New Roman"/>
        </w:rPr>
      </w:pPr>
      <w:r>
        <w:rPr>
          <w:rFonts w:ascii="Times New Roman" w:hAnsi="Times New Roman" w:cs="Times New Roman"/>
        </w:rPr>
        <w:t xml:space="preserve">Temeljem članaka 37. Zakona o proračunu („Narodne novine“ broj 144/21), Uputa za  izradu Proračuna jedinica lokalne i područne (regionalne) samouprave za razdoblje od 2026. do 2028. godine (točka 4. -veza Uputa za izradu proračuna jedinica lokalne i područne (regionalne) samouprave za razdoblje od 2018. do 2020.) koju je objavilo Ministarstvo financija, članka 16. Pravilnika o planiranju u sustavu proračuna („Narodne novine“ broj 1/24), članka 15. Odluke o izvršavanju Proračuna Općine Tkon za 2026. godinu (Službeni glasnik Općine Tkon broj: 18/25) i  članka 31. Statuta Općine Tkon (Službeni glasnik Općine Tkon broj 02/21), na svojoj </w:t>
      </w:r>
      <w:r w:rsidR="009C76AF">
        <w:rPr>
          <w:rFonts w:ascii="Times New Roman" w:hAnsi="Times New Roman" w:cs="Times New Roman"/>
        </w:rPr>
        <w:t>9.</w:t>
      </w:r>
      <w:r>
        <w:rPr>
          <w:rFonts w:ascii="Times New Roman" w:hAnsi="Times New Roman" w:cs="Times New Roman"/>
        </w:rPr>
        <w:t xml:space="preserve"> sjednici održanoj dana </w:t>
      </w:r>
      <w:r w:rsidR="009C76AF">
        <w:rPr>
          <w:rFonts w:ascii="Times New Roman" w:hAnsi="Times New Roman" w:cs="Times New Roman"/>
        </w:rPr>
        <w:t xml:space="preserve">19. lipnja 2026. </w:t>
      </w:r>
      <w:r>
        <w:rPr>
          <w:rFonts w:ascii="Times New Roman" w:hAnsi="Times New Roman" w:cs="Times New Roman"/>
        </w:rPr>
        <w:t>godine  donosi</w:t>
      </w:r>
    </w:p>
    <w:p w14:paraId="7C790E3B" w14:textId="77777777" w:rsidR="000260A2" w:rsidRDefault="000260A2" w:rsidP="000260A2">
      <w:pPr>
        <w:jc w:val="center"/>
        <w:rPr>
          <w:rFonts w:ascii="Times New Roman" w:hAnsi="Times New Roman" w:cs="Times New Roman"/>
          <w:b/>
        </w:rPr>
      </w:pPr>
      <w:r>
        <w:rPr>
          <w:rFonts w:ascii="Times New Roman" w:hAnsi="Times New Roman" w:cs="Times New Roman"/>
          <w:b/>
        </w:rPr>
        <w:t>Analizu i ocjenu postojećeg financijskog stanja s prijedlogom mjera za otklanjanje uzoraka negativnog poslovanja i akcijski plan provedbe navedenih mjera</w:t>
      </w:r>
    </w:p>
    <w:p w14:paraId="0A854554" w14:textId="77777777" w:rsidR="000260A2" w:rsidRDefault="000260A2" w:rsidP="000260A2">
      <w:pPr>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sidRPr="00184B15">
        <w:rPr>
          <w:rFonts w:ascii="Times New Roman" w:hAnsi="Times New Roman" w:cs="Times New Roman"/>
          <w:bCs/>
        </w:rPr>
        <w:t xml:space="preserve">Općina Tkon </w:t>
      </w:r>
      <w:r>
        <w:rPr>
          <w:rFonts w:ascii="Times New Roman" w:hAnsi="Times New Roman" w:cs="Times New Roman"/>
          <w:bCs/>
        </w:rPr>
        <w:t>je uz Proračun Općine Tkon za 2026.godinu s projekcijama za 2027. godinu i 2028. godinu planirala Višegodišnji plan uravnoteženja.</w:t>
      </w:r>
      <w:r>
        <w:rPr>
          <w:rFonts w:ascii="Times New Roman" w:hAnsi="Times New Roman" w:cs="Times New Roman"/>
          <w:bCs/>
        </w:rPr>
        <w:tab/>
        <w:t xml:space="preserve">Po utvrđenom rezultatu poslovanja za 2025. godinu pristupa se izradi ove </w:t>
      </w:r>
      <w:r w:rsidRPr="00184B15">
        <w:rPr>
          <w:rFonts w:ascii="Times New Roman" w:hAnsi="Times New Roman" w:cs="Times New Roman"/>
          <w:bCs/>
        </w:rPr>
        <w:t>Analiz</w:t>
      </w:r>
      <w:r>
        <w:rPr>
          <w:rFonts w:ascii="Times New Roman" w:hAnsi="Times New Roman" w:cs="Times New Roman"/>
          <w:bCs/>
        </w:rPr>
        <w:t>e</w:t>
      </w:r>
      <w:r w:rsidRPr="00184B15">
        <w:rPr>
          <w:rFonts w:ascii="Times New Roman" w:hAnsi="Times New Roman" w:cs="Times New Roman"/>
          <w:bCs/>
        </w:rPr>
        <w:t xml:space="preserve"> i ocjen</w:t>
      </w:r>
      <w:r>
        <w:rPr>
          <w:rFonts w:ascii="Times New Roman" w:hAnsi="Times New Roman" w:cs="Times New Roman"/>
          <w:bCs/>
        </w:rPr>
        <w:t xml:space="preserve">e </w:t>
      </w:r>
      <w:r w:rsidRPr="00184B15">
        <w:rPr>
          <w:rFonts w:ascii="Times New Roman" w:hAnsi="Times New Roman" w:cs="Times New Roman"/>
          <w:bCs/>
        </w:rPr>
        <w:t>postojećeg financijskog stanja s prijedlogom mjera za otklanjanje uzoraka negativnog poslovanja i akcijski plan provedbe navedenih mjera</w:t>
      </w:r>
      <w:r>
        <w:rPr>
          <w:rFonts w:ascii="Times New Roman" w:hAnsi="Times New Roman" w:cs="Times New Roman"/>
          <w:bCs/>
        </w:rPr>
        <w:t>.</w:t>
      </w:r>
    </w:p>
    <w:p w14:paraId="35C15A9E" w14:textId="77777777" w:rsidR="000260A2" w:rsidRDefault="000260A2" w:rsidP="000260A2">
      <w:pPr>
        <w:jc w:val="both"/>
        <w:rPr>
          <w:rFonts w:ascii="Times New Roman" w:hAnsi="Times New Roman" w:cs="Times New Roman"/>
        </w:rPr>
      </w:pPr>
      <w:r>
        <w:rPr>
          <w:rFonts w:ascii="Times New Roman" w:hAnsi="Times New Roman" w:cs="Times New Roman"/>
        </w:rPr>
        <w:t>U skladu s Uputama za  izradu Proračuna jedinica lokalne i područne (regionalne) samouprave za razdoblje od 2026. do 2028. godine (točka 4. -veza uputa za izradu proračuna jedinica lokalne i područne (regionalne) samouprave za razdoblje od 2018. do 2020.), izrađena je analiza financijskog stanja Općine Tkon radi što kvalitetnije procjene manjka za 2025. godinu te izrade plana njegova pokrića. Na temelju sagledanih pokazatelja sastavljen je prijedlog mjera za pokriće planiranog manjka i akcijski plan za njihovu provedbu. U analizi financijskog stanja korišteni su podaci iz Financijskih izvještaja Općine Tkon (razina 22).</w:t>
      </w:r>
    </w:p>
    <w:p w14:paraId="55BE3497" w14:textId="77777777" w:rsidR="000260A2" w:rsidRDefault="000260A2" w:rsidP="000260A2">
      <w:pPr>
        <w:pStyle w:val="Bezproreda"/>
        <w:spacing w:line="276" w:lineRule="auto"/>
        <w:ind w:firstLine="708"/>
        <w:jc w:val="both"/>
        <w:rPr>
          <w:rFonts w:ascii="Times New Roman" w:hAnsi="Times New Roman" w:cs="Times New Roman"/>
        </w:rPr>
      </w:pPr>
      <w:r>
        <w:rPr>
          <w:rFonts w:ascii="Times New Roman" w:hAnsi="Times New Roman" w:cs="Times New Roman"/>
        </w:rPr>
        <w:t>Općina Tkon ima ustrojen Jedinstveni upravni odjel i proračunskog korisnika Dječji vrtić „Ćok“.</w:t>
      </w:r>
    </w:p>
    <w:p w14:paraId="7E1DE91F" w14:textId="77777777" w:rsidR="000260A2" w:rsidRDefault="000260A2" w:rsidP="000260A2">
      <w:pPr>
        <w:pStyle w:val="Bezproreda"/>
        <w:numPr>
          <w:ilvl w:val="0"/>
          <w:numId w:val="2"/>
        </w:numPr>
        <w:spacing w:line="276" w:lineRule="auto"/>
        <w:jc w:val="both"/>
        <w:rPr>
          <w:rFonts w:ascii="Times New Roman" w:hAnsi="Times New Roman" w:cs="Times New Roman"/>
          <w:b/>
        </w:rPr>
      </w:pPr>
      <w:r>
        <w:rPr>
          <w:rFonts w:ascii="Times New Roman" w:hAnsi="Times New Roman" w:cs="Times New Roman"/>
          <w:b/>
        </w:rPr>
        <w:t xml:space="preserve">Analiza financijskog poslovanja Općine Tkon       </w:t>
      </w:r>
    </w:p>
    <w:p w14:paraId="5C855447" w14:textId="77777777" w:rsidR="000260A2" w:rsidRDefault="000260A2" w:rsidP="000260A2">
      <w:pPr>
        <w:pStyle w:val="Bezproreda"/>
        <w:spacing w:line="276" w:lineRule="auto"/>
        <w:jc w:val="center"/>
        <w:rPr>
          <w:rFonts w:ascii="Times New Roman" w:hAnsi="Times New Roman" w:cs="Times New Roman"/>
          <w:b/>
          <w:bCs/>
        </w:rPr>
      </w:pPr>
      <w:r>
        <w:rPr>
          <w:rFonts w:ascii="Times New Roman" w:hAnsi="Times New Roman" w:cs="Times New Roman"/>
          <w:b/>
          <w:bCs/>
        </w:rPr>
        <w:t xml:space="preserve">      </w:t>
      </w:r>
    </w:p>
    <w:p w14:paraId="01FF181D" w14:textId="77777777" w:rsidR="000260A2" w:rsidRDefault="000260A2" w:rsidP="000260A2">
      <w:pPr>
        <w:pStyle w:val="Bezproreda"/>
        <w:spacing w:line="276" w:lineRule="auto"/>
        <w:jc w:val="center"/>
        <w:rPr>
          <w:rFonts w:ascii="Times New Roman" w:hAnsi="Times New Roman" w:cs="Times New Roman"/>
          <w:b/>
          <w:bCs/>
        </w:rPr>
      </w:pPr>
      <w:r>
        <w:rPr>
          <w:rFonts w:ascii="Times New Roman" w:hAnsi="Times New Roman" w:cs="Times New Roman"/>
          <w:b/>
          <w:bCs/>
        </w:rPr>
        <w:t xml:space="preserve">IZVJEŠTAJ O PRIHODIMA I PRIMICIMA             </w:t>
      </w:r>
    </w:p>
    <w:tbl>
      <w:tblPr>
        <w:tblStyle w:val="Reetkatablice"/>
        <w:tblW w:w="8784" w:type="dxa"/>
        <w:tblLook w:val="04A0" w:firstRow="1" w:lastRow="0" w:firstColumn="1" w:lastColumn="0" w:noHBand="0" w:noVBand="1"/>
      </w:tblPr>
      <w:tblGrid>
        <w:gridCol w:w="3828"/>
        <w:gridCol w:w="1391"/>
        <w:gridCol w:w="1517"/>
        <w:gridCol w:w="2048"/>
      </w:tblGrid>
      <w:tr w:rsidR="000260A2" w14:paraId="310D2DA7" w14:textId="77777777" w:rsidTr="009C76AF">
        <w:tc>
          <w:tcPr>
            <w:tcW w:w="3828" w:type="dxa"/>
            <w:shd w:val="clear" w:color="auto" w:fill="B8CCE4" w:themeFill="accent1" w:themeFillTint="66"/>
          </w:tcPr>
          <w:p w14:paraId="47A38645"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PRIHODI I PRIMICI PO VRSTI</w:t>
            </w:r>
          </w:p>
        </w:tc>
        <w:tc>
          <w:tcPr>
            <w:tcW w:w="1391" w:type="dxa"/>
            <w:shd w:val="clear" w:color="auto" w:fill="B8CCE4" w:themeFill="accent1" w:themeFillTint="66"/>
          </w:tcPr>
          <w:p w14:paraId="6762E798"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IZVRŠENJE 31.12.2023.</w:t>
            </w:r>
          </w:p>
        </w:tc>
        <w:tc>
          <w:tcPr>
            <w:tcW w:w="1517" w:type="dxa"/>
            <w:shd w:val="clear" w:color="auto" w:fill="B8CCE4" w:themeFill="accent1" w:themeFillTint="66"/>
          </w:tcPr>
          <w:p w14:paraId="585BACF3"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IZVRŠENJE 31.12.2024.</w:t>
            </w:r>
          </w:p>
        </w:tc>
        <w:tc>
          <w:tcPr>
            <w:tcW w:w="2048" w:type="dxa"/>
            <w:shd w:val="clear" w:color="auto" w:fill="B8CCE4" w:themeFill="accent1" w:themeFillTint="66"/>
          </w:tcPr>
          <w:p w14:paraId="5006D459"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IZVRŠENJE 31.12.2025.</w:t>
            </w:r>
          </w:p>
        </w:tc>
      </w:tr>
      <w:tr w:rsidR="000260A2" w14:paraId="000CD4E2" w14:textId="77777777" w:rsidTr="009C76AF">
        <w:tc>
          <w:tcPr>
            <w:tcW w:w="3828" w:type="dxa"/>
          </w:tcPr>
          <w:p w14:paraId="619D38E8"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Prihodi od poreza</w:t>
            </w:r>
          </w:p>
        </w:tc>
        <w:tc>
          <w:tcPr>
            <w:tcW w:w="1391" w:type="dxa"/>
          </w:tcPr>
          <w:p w14:paraId="679D02EE"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479.424,01</w:t>
            </w:r>
          </w:p>
        </w:tc>
        <w:tc>
          <w:tcPr>
            <w:tcW w:w="1517" w:type="dxa"/>
          </w:tcPr>
          <w:p w14:paraId="0D865ED2"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693.878,44</w:t>
            </w:r>
          </w:p>
        </w:tc>
        <w:tc>
          <w:tcPr>
            <w:tcW w:w="2048" w:type="dxa"/>
          </w:tcPr>
          <w:p w14:paraId="76F06984"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678.100,25</w:t>
            </w:r>
          </w:p>
        </w:tc>
      </w:tr>
      <w:tr w:rsidR="000260A2" w14:paraId="2781EF4B" w14:textId="77777777" w:rsidTr="009C76AF">
        <w:tc>
          <w:tcPr>
            <w:tcW w:w="3828" w:type="dxa"/>
          </w:tcPr>
          <w:p w14:paraId="074F932F"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Pomoći iz inozemstva i od subjekata unutar općeg proračuna</w:t>
            </w:r>
          </w:p>
        </w:tc>
        <w:tc>
          <w:tcPr>
            <w:tcW w:w="1391" w:type="dxa"/>
          </w:tcPr>
          <w:p w14:paraId="12CE2495"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395.252,56</w:t>
            </w:r>
          </w:p>
        </w:tc>
        <w:tc>
          <w:tcPr>
            <w:tcW w:w="1517" w:type="dxa"/>
          </w:tcPr>
          <w:p w14:paraId="095E133C"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277.841,46</w:t>
            </w:r>
          </w:p>
        </w:tc>
        <w:tc>
          <w:tcPr>
            <w:tcW w:w="2048" w:type="dxa"/>
          </w:tcPr>
          <w:p w14:paraId="7914A16E"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200.264,24</w:t>
            </w:r>
          </w:p>
        </w:tc>
      </w:tr>
      <w:tr w:rsidR="000260A2" w14:paraId="312F02DC" w14:textId="77777777" w:rsidTr="009C76AF">
        <w:tc>
          <w:tcPr>
            <w:tcW w:w="3828" w:type="dxa"/>
          </w:tcPr>
          <w:p w14:paraId="3EC5DB1A"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Prihodi od imovine</w:t>
            </w:r>
          </w:p>
        </w:tc>
        <w:tc>
          <w:tcPr>
            <w:tcW w:w="1391" w:type="dxa"/>
          </w:tcPr>
          <w:p w14:paraId="47733987"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259.988,93</w:t>
            </w:r>
          </w:p>
        </w:tc>
        <w:tc>
          <w:tcPr>
            <w:tcW w:w="1517" w:type="dxa"/>
          </w:tcPr>
          <w:p w14:paraId="2A72DC04"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266.886,66</w:t>
            </w:r>
          </w:p>
        </w:tc>
        <w:tc>
          <w:tcPr>
            <w:tcW w:w="2048" w:type="dxa"/>
          </w:tcPr>
          <w:p w14:paraId="136F557B"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290.947,36</w:t>
            </w:r>
          </w:p>
        </w:tc>
      </w:tr>
      <w:tr w:rsidR="000260A2" w14:paraId="47BF5C3A" w14:textId="77777777" w:rsidTr="009C76AF">
        <w:tc>
          <w:tcPr>
            <w:tcW w:w="3828" w:type="dxa"/>
          </w:tcPr>
          <w:p w14:paraId="738D8E15"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Prihodi od upravnih i administrativnih pristojbi, pristojbi po posebnim propisima i naknada</w:t>
            </w:r>
          </w:p>
        </w:tc>
        <w:tc>
          <w:tcPr>
            <w:tcW w:w="1391" w:type="dxa"/>
          </w:tcPr>
          <w:p w14:paraId="1890A581"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192.714,20</w:t>
            </w:r>
          </w:p>
        </w:tc>
        <w:tc>
          <w:tcPr>
            <w:tcW w:w="1517" w:type="dxa"/>
          </w:tcPr>
          <w:p w14:paraId="002A12AB"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208.672,05</w:t>
            </w:r>
          </w:p>
        </w:tc>
        <w:tc>
          <w:tcPr>
            <w:tcW w:w="2048" w:type="dxa"/>
          </w:tcPr>
          <w:p w14:paraId="691AE490"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261.484,25</w:t>
            </w:r>
          </w:p>
        </w:tc>
      </w:tr>
      <w:tr w:rsidR="000260A2" w14:paraId="7F275165" w14:textId="77777777" w:rsidTr="009C76AF">
        <w:tc>
          <w:tcPr>
            <w:tcW w:w="3828" w:type="dxa"/>
          </w:tcPr>
          <w:p w14:paraId="13420539"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Prihodi od prodaje proizvoda i roba te pruženih usluga i prihodi od donacija</w:t>
            </w:r>
          </w:p>
        </w:tc>
        <w:tc>
          <w:tcPr>
            <w:tcW w:w="1391" w:type="dxa"/>
          </w:tcPr>
          <w:p w14:paraId="66CF219D"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7.159,01</w:t>
            </w:r>
          </w:p>
        </w:tc>
        <w:tc>
          <w:tcPr>
            <w:tcW w:w="1517" w:type="dxa"/>
          </w:tcPr>
          <w:p w14:paraId="33496FEF"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26.653,07</w:t>
            </w:r>
          </w:p>
        </w:tc>
        <w:tc>
          <w:tcPr>
            <w:tcW w:w="2048" w:type="dxa"/>
          </w:tcPr>
          <w:p w14:paraId="2357ECE2"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14.691,82</w:t>
            </w:r>
          </w:p>
        </w:tc>
      </w:tr>
      <w:tr w:rsidR="000260A2" w14:paraId="2FFB1B74" w14:textId="77777777" w:rsidTr="009C76AF">
        <w:tc>
          <w:tcPr>
            <w:tcW w:w="3828" w:type="dxa"/>
          </w:tcPr>
          <w:p w14:paraId="226A91D8"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Kazne, upravne mjere te ostali prihodi</w:t>
            </w:r>
          </w:p>
        </w:tc>
        <w:tc>
          <w:tcPr>
            <w:tcW w:w="1391" w:type="dxa"/>
          </w:tcPr>
          <w:p w14:paraId="6D69D293"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517" w:type="dxa"/>
          </w:tcPr>
          <w:p w14:paraId="0FC039B5"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159,26</w:t>
            </w:r>
          </w:p>
        </w:tc>
        <w:tc>
          <w:tcPr>
            <w:tcW w:w="2048" w:type="dxa"/>
          </w:tcPr>
          <w:p w14:paraId="5C72823C"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r>
      <w:tr w:rsidR="000260A2" w14:paraId="15DD39A7" w14:textId="77777777" w:rsidTr="009C76AF">
        <w:tc>
          <w:tcPr>
            <w:tcW w:w="3828" w:type="dxa"/>
            <w:shd w:val="clear" w:color="auto" w:fill="DBE5F1" w:themeFill="accent1" w:themeFillTint="33"/>
          </w:tcPr>
          <w:p w14:paraId="4F58FAF2"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UKUPNO PRIHODI POSLOVANJA</w:t>
            </w:r>
          </w:p>
        </w:tc>
        <w:tc>
          <w:tcPr>
            <w:tcW w:w="1391" w:type="dxa"/>
            <w:shd w:val="clear" w:color="auto" w:fill="DBE5F1" w:themeFill="accent1" w:themeFillTint="33"/>
          </w:tcPr>
          <w:p w14:paraId="239FEC89"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1.334.538,71</w:t>
            </w:r>
          </w:p>
        </w:tc>
        <w:tc>
          <w:tcPr>
            <w:tcW w:w="1517" w:type="dxa"/>
            <w:shd w:val="clear" w:color="auto" w:fill="DBE5F1" w:themeFill="accent1" w:themeFillTint="33"/>
          </w:tcPr>
          <w:p w14:paraId="4941F659"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1.474.090,94</w:t>
            </w:r>
          </w:p>
        </w:tc>
        <w:tc>
          <w:tcPr>
            <w:tcW w:w="2048" w:type="dxa"/>
            <w:shd w:val="clear" w:color="auto" w:fill="DBE5F1" w:themeFill="accent1" w:themeFillTint="33"/>
          </w:tcPr>
          <w:p w14:paraId="02947F1D"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1.445.487,92</w:t>
            </w:r>
          </w:p>
        </w:tc>
      </w:tr>
      <w:tr w:rsidR="000260A2" w14:paraId="5DEDF9BF" w14:textId="77777777" w:rsidTr="009C76AF">
        <w:trPr>
          <w:trHeight w:val="465"/>
        </w:trPr>
        <w:tc>
          <w:tcPr>
            <w:tcW w:w="3828" w:type="dxa"/>
            <w:tcBorders>
              <w:bottom w:val="single" w:sz="4" w:space="0" w:color="auto"/>
            </w:tcBorders>
          </w:tcPr>
          <w:p w14:paraId="62F98566"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 xml:space="preserve">Prihodi od prodaje </w:t>
            </w:r>
            <w:proofErr w:type="spellStart"/>
            <w:r>
              <w:rPr>
                <w:rFonts w:ascii="Times New Roman" w:hAnsi="Times New Roman" w:cs="Times New Roman"/>
                <w:sz w:val="20"/>
                <w:szCs w:val="20"/>
              </w:rPr>
              <w:t>neproizvedene</w:t>
            </w:r>
            <w:proofErr w:type="spellEnd"/>
            <w:r>
              <w:rPr>
                <w:rFonts w:ascii="Times New Roman" w:hAnsi="Times New Roman" w:cs="Times New Roman"/>
                <w:sz w:val="20"/>
                <w:szCs w:val="20"/>
              </w:rPr>
              <w:t xml:space="preserve"> dugotrajne imovine </w:t>
            </w:r>
          </w:p>
        </w:tc>
        <w:tc>
          <w:tcPr>
            <w:tcW w:w="1391" w:type="dxa"/>
            <w:tcBorders>
              <w:bottom w:val="single" w:sz="4" w:space="0" w:color="auto"/>
            </w:tcBorders>
          </w:tcPr>
          <w:p w14:paraId="197F80B6"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517" w:type="dxa"/>
            <w:tcBorders>
              <w:bottom w:val="single" w:sz="4" w:space="0" w:color="auto"/>
            </w:tcBorders>
          </w:tcPr>
          <w:p w14:paraId="4B7973C0"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1.307,50</w:t>
            </w:r>
          </w:p>
        </w:tc>
        <w:tc>
          <w:tcPr>
            <w:tcW w:w="2048" w:type="dxa"/>
            <w:tcBorders>
              <w:bottom w:val="single" w:sz="4" w:space="0" w:color="auto"/>
            </w:tcBorders>
          </w:tcPr>
          <w:p w14:paraId="0D5A57FB"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r>
      <w:tr w:rsidR="000260A2" w14:paraId="4CA65EDF" w14:textId="77777777" w:rsidTr="009C76AF">
        <w:trPr>
          <w:trHeight w:val="585"/>
        </w:trPr>
        <w:tc>
          <w:tcPr>
            <w:tcW w:w="3828" w:type="dxa"/>
            <w:tcBorders>
              <w:top w:val="single" w:sz="4" w:space="0" w:color="auto"/>
            </w:tcBorders>
          </w:tcPr>
          <w:p w14:paraId="0D92EBC2"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Prihodi od prodaje proizvedene dugotrajne imovine</w:t>
            </w:r>
          </w:p>
        </w:tc>
        <w:tc>
          <w:tcPr>
            <w:tcW w:w="1391" w:type="dxa"/>
            <w:tcBorders>
              <w:top w:val="single" w:sz="4" w:space="0" w:color="auto"/>
            </w:tcBorders>
          </w:tcPr>
          <w:p w14:paraId="586B1D02"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517" w:type="dxa"/>
            <w:tcBorders>
              <w:top w:val="single" w:sz="4" w:space="0" w:color="auto"/>
            </w:tcBorders>
          </w:tcPr>
          <w:p w14:paraId="2044C406"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2048" w:type="dxa"/>
            <w:tcBorders>
              <w:top w:val="single" w:sz="4" w:space="0" w:color="auto"/>
            </w:tcBorders>
          </w:tcPr>
          <w:p w14:paraId="0920DC0C"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r>
      <w:tr w:rsidR="000260A2" w14:paraId="3EFA9B2E" w14:textId="77777777" w:rsidTr="009C76AF">
        <w:tc>
          <w:tcPr>
            <w:tcW w:w="3828" w:type="dxa"/>
            <w:shd w:val="clear" w:color="auto" w:fill="DBE5F1" w:themeFill="accent1" w:themeFillTint="33"/>
          </w:tcPr>
          <w:p w14:paraId="259278CA"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UKUPNO PRIHODI OD PRODAJE NEFINANCIJSKE IMOIVNE</w:t>
            </w:r>
          </w:p>
        </w:tc>
        <w:tc>
          <w:tcPr>
            <w:tcW w:w="1391" w:type="dxa"/>
            <w:shd w:val="clear" w:color="auto" w:fill="DBE5F1" w:themeFill="accent1" w:themeFillTint="33"/>
          </w:tcPr>
          <w:p w14:paraId="7F30A6CF" w14:textId="77777777" w:rsidR="000260A2" w:rsidRDefault="000260A2" w:rsidP="00F13363">
            <w:pPr>
              <w:pStyle w:val="Bezproreda"/>
              <w:spacing w:line="276" w:lineRule="auto"/>
              <w:jc w:val="right"/>
              <w:rPr>
                <w:rFonts w:ascii="Times New Roman" w:hAnsi="Times New Roman" w:cs="Times New Roman"/>
                <w:sz w:val="20"/>
                <w:szCs w:val="20"/>
              </w:rPr>
            </w:pPr>
          </w:p>
        </w:tc>
        <w:tc>
          <w:tcPr>
            <w:tcW w:w="1517" w:type="dxa"/>
            <w:shd w:val="clear" w:color="auto" w:fill="DBE5F1" w:themeFill="accent1" w:themeFillTint="33"/>
          </w:tcPr>
          <w:p w14:paraId="087C53B4"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1.307,50</w:t>
            </w:r>
          </w:p>
        </w:tc>
        <w:tc>
          <w:tcPr>
            <w:tcW w:w="2048" w:type="dxa"/>
            <w:shd w:val="clear" w:color="auto" w:fill="DBE5F1" w:themeFill="accent1" w:themeFillTint="33"/>
          </w:tcPr>
          <w:p w14:paraId="24A3E7A6"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r>
      <w:tr w:rsidR="000260A2" w14:paraId="43B62193" w14:textId="77777777" w:rsidTr="009C76AF">
        <w:tc>
          <w:tcPr>
            <w:tcW w:w="3828" w:type="dxa"/>
            <w:shd w:val="clear" w:color="auto" w:fill="auto"/>
          </w:tcPr>
          <w:p w14:paraId="2F1FFF51" w14:textId="77777777" w:rsidR="000260A2" w:rsidRDefault="000260A2" w:rsidP="00F13363">
            <w:pPr>
              <w:pStyle w:val="Bezproreda"/>
              <w:spacing w:line="276" w:lineRule="auto"/>
              <w:rPr>
                <w:rFonts w:ascii="Times New Roman" w:hAnsi="Times New Roman" w:cs="Times New Roman"/>
                <w:bCs/>
                <w:sz w:val="20"/>
                <w:szCs w:val="20"/>
              </w:rPr>
            </w:pPr>
            <w:r>
              <w:rPr>
                <w:rFonts w:ascii="Times New Roman" w:hAnsi="Times New Roman" w:cs="Times New Roman"/>
                <w:bCs/>
                <w:sz w:val="20"/>
                <w:szCs w:val="20"/>
              </w:rPr>
              <w:t>Primici od financijske imovine i zaduživanja</w:t>
            </w:r>
          </w:p>
        </w:tc>
        <w:tc>
          <w:tcPr>
            <w:tcW w:w="1391" w:type="dxa"/>
            <w:shd w:val="clear" w:color="auto" w:fill="auto"/>
          </w:tcPr>
          <w:p w14:paraId="79928477"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9,26</w:t>
            </w:r>
          </w:p>
        </w:tc>
        <w:tc>
          <w:tcPr>
            <w:tcW w:w="1517" w:type="dxa"/>
            <w:shd w:val="clear" w:color="auto" w:fill="auto"/>
          </w:tcPr>
          <w:p w14:paraId="04F0B25C"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0,00</w:t>
            </w:r>
          </w:p>
        </w:tc>
        <w:tc>
          <w:tcPr>
            <w:tcW w:w="2048" w:type="dxa"/>
            <w:shd w:val="clear" w:color="auto" w:fill="auto"/>
          </w:tcPr>
          <w:p w14:paraId="20F720E8"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84.999,98</w:t>
            </w:r>
          </w:p>
        </w:tc>
      </w:tr>
      <w:tr w:rsidR="000260A2" w14:paraId="3A92A85A" w14:textId="77777777" w:rsidTr="009C76AF">
        <w:tc>
          <w:tcPr>
            <w:tcW w:w="3828" w:type="dxa"/>
            <w:shd w:val="clear" w:color="auto" w:fill="DBE5F1" w:themeFill="accent1" w:themeFillTint="33"/>
          </w:tcPr>
          <w:p w14:paraId="3D32CE35" w14:textId="77777777" w:rsidR="000260A2" w:rsidRDefault="000260A2" w:rsidP="00F13363">
            <w:pPr>
              <w:pStyle w:val="Bezproreda"/>
              <w:spacing w:line="276" w:lineRule="auto"/>
              <w:rPr>
                <w:rFonts w:ascii="Times New Roman" w:hAnsi="Times New Roman" w:cs="Times New Roman"/>
                <w:bCs/>
                <w:sz w:val="20"/>
                <w:szCs w:val="20"/>
              </w:rPr>
            </w:pPr>
            <w:r>
              <w:rPr>
                <w:rFonts w:ascii="Times New Roman" w:hAnsi="Times New Roman" w:cs="Times New Roman"/>
                <w:bCs/>
                <w:sz w:val="20"/>
                <w:szCs w:val="20"/>
              </w:rPr>
              <w:t>UKUPNO PRIMICI:</w:t>
            </w:r>
          </w:p>
        </w:tc>
        <w:tc>
          <w:tcPr>
            <w:tcW w:w="1391" w:type="dxa"/>
            <w:shd w:val="clear" w:color="auto" w:fill="DBE5F1" w:themeFill="accent1" w:themeFillTint="33"/>
          </w:tcPr>
          <w:p w14:paraId="611D9DDF"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9,26</w:t>
            </w:r>
          </w:p>
        </w:tc>
        <w:tc>
          <w:tcPr>
            <w:tcW w:w="1517" w:type="dxa"/>
            <w:shd w:val="clear" w:color="auto" w:fill="DBE5F1" w:themeFill="accent1" w:themeFillTint="33"/>
          </w:tcPr>
          <w:p w14:paraId="483E4CF4"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0,00</w:t>
            </w:r>
          </w:p>
        </w:tc>
        <w:tc>
          <w:tcPr>
            <w:tcW w:w="2048" w:type="dxa"/>
            <w:shd w:val="clear" w:color="auto" w:fill="DBE5F1" w:themeFill="accent1" w:themeFillTint="33"/>
          </w:tcPr>
          <w:p w14:paraId="191AF76C"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84.999,98</w:t>
            </w:r>
          </w:p>
        </w:tc>
      </w:tr>
      <w:tr w:rsidR="000260A2" w14:paraId="535C7AF4" w14:textId="77777777" w:rsidTr="009C76AF">
        <w:tc>
          <w:tcPr>
            <w:tcW w:w="3828" w:type="dxa"/>
            <w:shd w:val="clear" w:color="auto" w:fill="DBE5F1" w:themeFill="accent1" w:themeFillTint="33"/>
          </w:tcPr>
          <w:p w14:paraId="27514E6D" w14:textId="77777777" w:rsidR="000260A2" w:rsidRDefault="000260A2" w:rsidP="00F13363">
            <w:pPr>
              <w:pStyle w:val="Bezproreda"/>
              <w:spacing w:line="276" w:lineRule="auto"/>
              <w:rPr>
                <w:rFonts w:ascii="Times New Roman" w:hAnsi="Times New Roman" w:cs="Times New Roman"/>
                <w:b/>
                <w:bCs/>
                <w:sz w:val="20"/>
                <w:szCs w:val="20"/>
              </w:rPr>
            </w:pPr>
            <w:r>
              <w:rPr>
                <w:rFonts w:ascii="Times New Roman" w:hAnsi="Times New Roman" w:cs="Times New Roman"/>
                <w:b/>
                <w:bCs/>
                <w:sz w:val="20"/>
                <w:szCs w:val="20"/>
              </w:rPr>
              <w:t>UKUPNO PRIHODI I PRIMICI:</w:t>
            </w:r>
          </w:p>
        </w:tc>
        <w:tc>
          <w:tcPr>
            <w:tcW w:w="1391" w:type="dxa"/>
            <w:shd w:val="clear" w:color="auto" w:fill="DBE5F1" w:themeFill="accent1" w:themeFillTint="33"/>
          </w:tcPr>
          <w:p w14:paraId="753A7B3E" w14:textId="77777777" w:rsidR="000260A2" w:rsidRDefault="000260A2" w:rsidP="00F13363">
            <w:pPr>
              <w:pStyle w:val="Bezproreda"/>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1.334.547,97</w:t>
            </w:r>
          </w:p>
        </w:tc>
        <w:tc>
          <w:tcPr>
            <w:tcW w:w="1517" w:type="dxa"/>
            <w:shd w:val="clear" w:color="auto" w:fill="DBE5F1" w:themeFill="accent1" w:themeFillTint="33"/>
          </w:tcPr>
          <w:p w14:paraId="5F96FCF2" w14:textId="77777777" w:rsidR="000260A2" w:rsidRDefault="000260A2" w:rsidP="00F13363">
            <w:pPr>
              <w:pStyle w:val="Bezproreda"/>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1.475.398,44</w:t>
            </w:r>
          </w:p>
        </w:tc>
        <w:tc>
          <w:tcPr>
            <w:tcW w:w="2048" w:type="dxa"/>
            <w:shd w:val="clear" w:color="auto" w:fill="DBE5F1" w:themeFill="accent1" w:themeFillTint="33"/>
          </w:tcPr>
          <w:p w14:paraId="3E72C0D5" w14:textId="77777777" w:rsidR="000260A2" w:rsidRDefault="000260A2" w:rsidP="00F13363">
            <w:pPr>
              <w:pStyle w:val="Bezproreda"/>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1.530.487,90</w:t>
            </w:r>
          </w:p>
        </w:tc>
      </w:tr>
    </w:tbl>
    <w:p w14:paraId="10ECD2D3" w14:textId="77777777" w:rsidR="000260A2" w:rsidRDefault="000260A2" w:rsidP="000260A2">
      <w:pPr>
        <w:ind w:firstLine="708"/>
        <w:jc w:val="both"/>
        <w:rPr>
          <w:rFonts w:ascii="Times New Roman" w:hAnsi="Times New Roman" w:cs="Times New Roman"/>
        </w:rPr>
      </w:pPr>
      <w:r>
        <w:rPr>
          <w:rFonts w:ascii="Times New Roman" w:hAnsi="Times New Roman" w:cs="Times New Roman"/>
        </w:rPr>
        <w:lastRenderedPageBreak/>
        <w:t>Indeks ostvarenja ukupnih prihoda i primitaka 2024. godine u odnosu na 2023. godinu iznosi 110,55. Najveći dio povećanja odnosi se na prihode od poreza i pomoći, dok se na ostalim prihodima bilježi lagani porast. Naime, kako se ne bi dovelo u pitanje financiranje i izvršavanje zakonom propisanih poslova JLP(R)S, odredbama Zakona o financiranju jedinica lokalne i područne (regionalne) samouprave i Odluke o udjelu sredstava fiskalnog izravnavanja za pojedinu općinu, grad i županiju u ukupnim sredstvima fiskalnog izravnavanja i iznosu sredstava fiskalnog izravnavanja jedinicama lokalne i područne (regionalne) samouprave iz proračuna se isplaćuje pomoć</w:t>
      </w:r>
      <w:r>
        <w:rPr>
          <w:rFonts w:ascii="Times New Roman" w:hAnsi="Times New Roman" w:cs="Times New Roman"/>
          <w:sz w:val="20"/>
          <w:szCs w:val="20"/>
        </w:rPr>
        <w:t xml:space="preserve"> </w:t>
      </w:r>
      <w:r>
        <w:rPr>
          <w:rFonts w:ascii="Times New Roman" w:hAnsi="Times New Roman" w:cs="Times New Roman"/>
        </w:rPr>
        <w:t xml:space="preserve">u visini razlike između prihoda od poreza na dohodak koji su ostvareni tijekom prethodne godine i prihoda od poreza na dohodak koji su ostvareni tijekom tekuće godine kroz fiskalno izravnavanje i fiskalnu održivost dječjih vrtića. </w:t>
      </w:r>
    </w:p>
    <w:p w14:paraId="6860A9EA" w14:textId="77777777" w:rsidR="000260A2" w:rsidRDefault="000260A2" w:rsidP="000260A2">
      <w:pPr>
        <w:ind w:firstLine="708"/>
        <w:jc w:val="both"/>
        <w:rPr>
          <w:rFonts w:ascii="Times New Roman" w:hAnsi="Times New Roman" w:cs="Times New Roman"/>
        </w:rPr>
      </w:pPr>
      <w:r>
        <w:rPr>
          <w:rFonts w:ascii="Times New Roman" w:hAnsi="Times New Roman" w:cs="Times New Roman"/>
        </w:rPr>
        <w:t xml:space="preserve">Indeks ostvarenja ukupnih prihoda i primitaka 2025. godine u odnosu na 2024. godinu iznosi 103,73. Iz priložene tabele vidljivo je smanjenje prihoda od poreza s indeksom 97,73,  pomoći s indeksom 72,08 a koje se odnose na tekuće i kapitalne pomoći iz državnog proračuna, županijskog proračuna, pomoći međunarodnih organizacija te potpore za lokalni razvoj u sklopu inicijative Leader, međutim odobrene kapitalne pomoći za projekte Vidikovac Straža, Trg Fontana tri palme i igralište </w:t>
      </w:r>
      <w:proofErr w:type="spellStart"/>
      <w:r>
        <w:rPr>
          <w:rFonts w:ascii="Times New Roman" w:hAnsi="Times New Roman" w:cs="Times New Roman"/>
        </w:rPr>
        <w:t>Kušnjak</w:t>
      </w:r>
      <w:proofErr w:type="spellEnd"/>
      <w:r>
        <w:rPr>
          <w:rFonts w:ascii="Times New Roman" w:hAnsi="Times New Roman" w:cs="Times New Roman"/>
        </w:rPr>
        <w:t xml:space="preserve"> u iznosu od 190.076,22 </w:t>
      </w:r>
      <w:proofErr w:type="spellStart"/>
      <w:r>
        <w:rPr>
          <w:rFonts w:ascii="Times New Roman" w:hAnsi="Times New Roman" w:cs="Times New Roman"/>
        </w:rPr>
        <w:t>eur</w:t>
      </w:r>
      <w:proofErr w:type="spellEnd"/>
      <w:r>
        <w:rPr>
          <w:rFonts w:ascii="Times New Roman" w:hAnsi="Times New Roman" w:cs="Times New Roman"/>
        </w:rPr>
        <w:t xml:space="preserve">, od strane državnog proračuna, nisu isplaćene u 2025 godini već u 2026 godini što je djelomično stvorilo manjak prihoda i primitaka tekućeg razdoblja, zatim prihodi od imovine s indeksom 109,02, prihodi od pristojbi s indeksom 125,31, prihoda od pruženih usluga i donacije s indeksom 55,12 dok prihodi od prodaje imovine nisu ostvareni u 2025 godini  </w:t>
      </w:r>
    </w:p>
    <w:p w14:paraId="5F6357DD" w14:textId="77777777" w:rsidR="000260A2" w:rsidRDefault="000260A2" w:rsidP="000260A2">
      <w:pPr>
        <w:pStyle w:val="Tijeloteksta"/>
        <w:jc w:val="center"/>
        <w:rPr>
          <w:b/>
          <w:sz w:val="20"/>
          <w:szCs w:val="20"/>
        </w:rPr>
      </w:pPr>
    </w:p>
    <w:p w14:paraId="263FD88A" w14:textId="77777777" w:rsidR="000260A2" w:rsidRDefault="000260A2" w:rsidP="000260A2">
      <w:pPr>
        <w:pStyle w:val="Tijeloteksta"/>
        <w:jc w:val="center"/>
        <w:rPr>
          <w:b/>
          <w:sz w:val="20"/>
          <w:szCs w:val="20"/>
        </w:rPr>
      </w:pPr>
    </w:p>
    <w:p w14:paraId="7A62DDF3" w14:textId="77777777" w:rsidR="000260A2" w:rsidRDefault="000260A2" w:rsidP="000260A2">
      <w:pPr>
        <w:pStyle w:val="Tijeloteksta"/>
        <w:jc w:val="center"/>
        <w:rPr>
          <w:b/>
          <w:sz w:val="20"/>
          <w:szCs w:val="20"/>
        </w:rPr>
      </w:pPr>
      <w:r>
        <w:rPr>
          <w:b/>
          <w:sz w:val="20"/>
          <w:szCs w:val="20"/>
        </w:rPr>
        <w:t xml:space="preserve">IZVJEŠTAJ O RASHODIMA I IZDACIMA                     </w:t>
      </w:r>
    </w:p>
    <w:p w14:paraId="3DE9BFD8" w14:textId="77777777" w:rsidR="000260A2" w:rsidRDefault="000260A2" w:rsidP="000260A2">
      <w:pPr>
        <w:pStyle w:val="Tijeloteksta"/>
        <w:jc w:val="center"/>
        <w:rPr>
          <w:b/>
          <w:sz w:val="20"/>
          <w:szCs w:val="20"/>
        </w:rPr>
      </w:pPr>
      <w:r>
        <w:rPr>
          <w:b/>
          <w:sz w:val="20"/>
          <w:szCs w:val="20"/>
        </w:rPr>
        <w:t xml:space="preserve">                 </w:t>
      </w:r>
    </w:p>
    <w:p w14:paraId="4B719204" w14:textId="77777777" w:rsidR="000260A2" w:rsidRDefault="000260A2" w:rsidP="000260A2">
      <w:pPr>
        <w:pStyle w:val="Tijeloteksta"/>
        <w:jc w:val="center"/>
        <w:rPr>
          <w:b/>
          <w:sz w:val="20"/>
          <w:szCs w:val="20"/>
        </w:rPr>
      </w:pPr>
      <w:r>
        <w:rPr>
          <w:b/>
          <w:sz w:val="20"/>
          <w:szCs w:val="20"/>
        </w:rPr>
        <w:t xml:space="preserve">  </w:t>
      </w:r>
    </w:p>
    <w:tbl>
      <w:tblPr>
        <w:tblStyle w:val="Reetkatablice"/>
        <w:tblW w:w="8642" w:type="dxa"/>
        <w:tblLook w:val="04A0" w:firstRow="1" w:lastRow="0" w:firstColumn="1" w:lastColumn="0" w:noHBand="0" w:noVBand="1"/>
      </w:tblPr>
      <w:tblGrid>
        <w:gridCol w:w="3252"/>
        <w:gridCol w:w="1507"/>
        <w:gridCol w:w="1507"/>
        <w:gridCol w:w="2376"/>
      </w:tblGrid>
      <w:tr w:rsidR="000260A2" w14:paraId="30C058BE" w14:textId="77777777" w:rsidTr="009C76AF">
        <w:tc>
          <w:tcPr>
            <w:tcW w:w="3252" w:type="dxa"/>
            <w:shd w:val="clear" w:color="auto" w:fill="B8CCE4" w:themeFill="accent1" w:themeFillTint="66"/>
          </w:tcPr>
          <w:p w14:paraId="5EFB8768"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RASHODI I IZDACI PO VRSTI</w:t>
            </w:r>
          </w:p>
        </w:tc>
        <w:tc>
          <w:tcPr>
            <w:tcW w:w="1507" w:type="dxa"/>
            <w:shd w:val="clear" w:color="auto" w:fill="B8CCE4" w:themeFill="accent1" w:themeFillTint="66"/>
          </w:tcPr>
          <w:p w14:paraId="72868675"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IZVRŠENJE 31.12.2023.</w:t>
            </w:r>
          </w:p>
        </w:tc>
        <w:tc>
          <w:tcPr>
            <w:tcW w:w="1507" w:type="dxa"/>
            <w:shd w:val="clear" w:color="auto" w:fill="B8CCE4" w:themeFill="accent1" w:themeFillTint="66"/>
          </w:tcPr>
          <w:p w14:paraId="2DE12300"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IZVRŠENJE 31.12.2024.</w:t>
            </w:r>
          </w:p>
        </w:tc>
        <w:tc>
          <w:tcPr>
            <w:tcW w:w="2376" w:type="dxa"/>
            <w:shd w:val="clear" w:color="auto" w:fill="B8CCE4" w:themeFill="accent1" w:themeFillTint="66"/>
          </w:tcPr>
          <w:p w14:paraId="31089171"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IZVRŠENJE 31.12.2025.</w:t>
            </w:r>
          </w:p>
        </w:tc>
      </w:tr>
      <w:tr w:rsidR="000260A2" w14:paraId="57B0DEA0" w14:textId="77777777" w:rsidTr="009C76AF">
        <w:tc>
          <w:tcPr>
            <w:tcW w:w="3252" w:type="dxa"/>
          </w:tcPr>
          <w:p w14:paraId="5E194FCE"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Rashodi za zaposlene</w:t>
            </w:r>
          </w:p>
        </w:tc>
        <w:tc>
          <w:tcPr>
            <w:tcW w:w="1507" w:type="dxa"/>
          </w:tcPr>
          <w:p w14:paraId="0C17896D"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122.301,15</w:t>
            </w:r>
          </w:p>
        </w:tc>
        <w:tc>
          <w:tcPr>
            <w:tcW w:w="1507" w:type="dxa"/>
          </w:tcPr>
          <w:p w14:paraId="7DFFCA2C"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159.267,46</w:t>
            </w:r>
          </w:p>
        </w:tc>
        <w:tc>
          <w:tcPr>
            <w:tcW w:w="2376" w:type="dxa"/>
          </w:tcPr>
          <w:p w14:paraId="58FC074C"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199.354,67</w:t>
            </w:r>
          </w:p>
        </w:tc>
      </w:tr>
      <w:tr w:rsidR="000260A2" w14:paraId="06A16EC8" w14:textId="77777777" w:rsidTr="009C76AF">
        <w:tc>
          <w:tcPr>
            <w:tcW w:w="3252" w:type="dxa"/>
          </w:tcPr>
          <w:p w14:paraId="37598F2B"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Materijalni rashodi</w:t>
            </w:r>
          </w:p>
        </w:tc>
        <w:tc>
          <w:tcPr>
            <w:tcW w:w="1507" w:type="dxa"/>
          </w:tcPr>
          <w:p w14:paraId="01D645CF"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346.695,69</w:t>
            </w:r>
          </w:p>
        </w:tc>
        <w:tc>
          <w:tcPr>
            <w:tcW w:w="1507" w:type="dxa"/>
          </w:tcPr>
          <w:p w14:paraId="1440B9DE"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392.875,75</w:t>
            </w:r>
          </w:p>
        </w:tc>
        <w:tc>
          <w:tcPr>
            <w:tcW w:w="2376" w:type="dxa"/>
          </w:tcPr>
          <w:p w14:paraId="12273ED0"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447.233,39</w:t>
            </w:r>
          </w:p>
        </w:tc>
      </w:tr>
      <w:tr w:rsidR="000260A2" w14:paraId="6FFA3B23" w14:textId="77777777" w:rsidTr="009C76AF">
        <w:tc>
          <w:tcPr>
            <w:tcW w:w="3252" w:type="dxa"/>
          </w:tcPr>
          <w:p w14:paraId="7A23B17D"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Financijski rashodi</w:t>
            </w:r>
          </w:p>
        </w:tc>
        <w:tc>
          <w:tcPr>
            <w:tcW w:w="1507" w:type="dxa"/>
          </w:tcPr>
          <w:p w14:paraId="465D0983"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13.891,96</w:t>
            </w:r>
          </w:p>
        </w:tc>
        <w:tc>
          <w:tcPr>
            <w:tcW w:w="1507" w:type="dxa"/>
          </w:tcPr>
          <w:p w14:paraId="7A42BF3A"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10.683,12</w:t>
            </w:r>
          </w:p>
        </w:tc>
        <w:tc>
          <w:tcPr>
            <w:tcW w:w="2376" w:type="dxa"/>
          </w:tcPr>
          <w:p w14:paraId="6DAF0FB3"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11.416,09</w:t>
            </w:r>
          </w:p>
        </w:tc>
      </w:tr>
      <w:tr w:rsidR="000260A2" w14:paraId="27D130F0" w14:textId="77777777" w:rsidTr="009C76AF">
        <w:tc>
          <w:tcPr>
            <w:tcW w:w="3252" w:type="dxa"/>
          </w:tcPr>
          <w:p w14:paraId="6DBBAA51"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Subvencije</w:t>
            </w:r>
          </w:p>
        </w:tc>
        <w:tc>
          <w:tcPr>
            <w:tcW w:w="1507" w:type="dxa"/>
          </w:tcPr>
          <w:p w14:paraId="5381E853"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507" w:type="dxa"/>
          </w:tcPr>
          <w:p w14:paraId="39BA9E94"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2376" w:type="dxa"/>
          </w:tcPr>
          <w:p w14:paraId="47627938"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r>
      <w:tr w:rsidR="000260A2" w14:paraId="18950453" w14:textId="77777777" w:rsidTr="009C76AF">
        <w:tc>
          <w:tcPr>
            <w:tcW w:w="3252" w:type="dxa"/>
          </w:tcPr>
          <w:p w14:paraId="1F4F27A1"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Pomoći dane u inozemstvo i unutar općeg proračuna</w:t>
            </w:r>
          </w:p>
        </w:tc>
        <w:tc>
          <w:tcPr>
            <w:tcW w:w="1507" w:type="dxa"/>
          </w:tcPr>
          <w:p w14:paraId="3AB0070F"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99.930,00</w:t>
            </w:r>
          </w:p>
        </w:tc>
        <w:tc>
          <w:tcPr>
            <w:tcW w:w="1507" w:type="dxa"/>
          </w:tcPr>
          <w:p w14:paraId="0E0B8D70"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102.548,00</w:t>
            </w:r>
          </w:p>
        </w:tc>
        <w:tc>
          <w:tcPr>
            <w:tcW w:w="2376" w:type="dxa"/>
          </w:tcPr>
          <w:p w14:paraId="6C3DC3FF"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118.512,61</w:t>
            </w:r>
          </w:p>
        </w:tc>
      </w:tr>
      <w:tr w:rsidR="000260A2" w14:paraId="29ED57CD" w14:textId="77777777" w:rsidTr="009C76AF">
        <w:tc>
          <w:tcPr>
            <w:tcW w:w="3252" w:type="dxa"/>
          </w:tcPr>
          <w:p w14:paraId="27D3B334"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Naknade građanima i kućanstvima na temelju osiguranja i druge naknade</w:t>
            </w:r>
          </w:p>
        </w:tc>
        <w:tc>
          <w:tcPr>
            <w:tcW w:w="1507" w:type="dxa"/>
          </w:tcPr>
          <w:p w14:paraId="7F8E9D91"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9.843,28</w:t>
            </w:r>
          </w:p>
        </w:tc>
        <w:tc>
          <w:tcPr>
            <w:tcW w:w="1507" w:type="dxa"/>
          </w:tcPr>
          <w:p w14:paraId="1D3FAF0D"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13.060,00</w:t>
            </w:r>
          </w:p>
        </w:tc>
        <w:tc>
          <w:tcPr>
            <w:tcW w:w="2376" w:type="dxa"/>
          </w:tcPr>
          <w:p w14:paraId="2F2B4470"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7.380,00</w:t>
            </w:r>
          </w:p>
        </w:tc>
      </w:tr>
      <w:tr w:rsidR="000260A2" w14:paraId="5F2F8557" w14:textId="77777777" w:rsidTr="009C76AF">
        <w:tc>
          <w:tcPr>
            <w:tcW w:w="3252" w:type="dxa"/>
          </w:tcPr>
          <w:p w14:paraId="114E2885"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Ostali rashodi (donacije)</w:t>
            </w:r>
          </w:p>
        </w:tc>
        <w:tc>
          <w:tcPr>
            <w:tcW w:w="1507" w:type="dxa"/>
          </w:tcPr>
          <w:p w14:paraId="7E753002"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71.451,23</w:t>
            </w:r>
          </w:p>
        </w:tc>
        <w:tc>
          <w:tcPr>
            <w:tcW w:w="1507" w:type="dxa"/>
          </w:tcPr>
          <w:p w14:paraId="70BFB7AE"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118.012,18</w:t>
            </w:r>
          </w:p>
        </w:tc>
        <w:tc>
          <w:tcPr>
            <w:tcW w:w="2376" w:type="dxa"/>
          </w:tcPr>
          <w:p w14:paraId="05F69144"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122.969,00</w:t>
            </w:r>
          </w:p>
        </w:tc>
      </w:tr>
      <w:tr w:rsidR="000260A2" w14:paraId="1729D960" w14:textId="77777777" w:rsidTr="009C76AF">
        <w:tc>
          <w:tcPr>
            <w:tcW w:w="3252" w:type="dxa"/>
            <w:shd w:val="clear" w:color="auto" w:fill="DBE5F1" w:themeFill="accent1" w:themeFillTint="33"/>
          </w:tcPr>
          <w:p w14:paraId="3D1B37D1"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UKUPNO RASHODI POSLOVANJA</w:t>
            </w:r>
          </w:p>
        </w:tc>
        <w:tc>
          <w:tcPr>
            <w:tcW w:w="1507" w:type="dxa"/>
            <w:shd w:val="clear" w:color="auto" w:fill="DBE5F1" w:themeFill="accent1" w:themeFillTint="33"/>
          </w:tcPr>
          <w:p w14:paraId="58392544"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664.113,31</w:t>
            </w:r>
          </w:p>
        </w:tc>
        <w:tc>
          <w:tcPr>
            <w:tcW w:w="1507" w:type="dxa"/>
            <w:shd w:val="clear" w:color="auto" w:fill="DBE5F1" w:themeFill="accent1" w:themeFillTint="33"/>
          </w:tcPr>
          <w:p w14:paraId="23578177"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796.446,51</w:t>
            </w:r>
          </w:p>
        </w:tc>
        <w:tc>
          <w:tcPr>
            <w:tcW w:w="2376" w:type="dxa"/>
            <w:shd w:val="clear" w:color="auto" w:fill="DBE5F1" w:themeFill="accent1" w:themeFillTint="33"/>
          </w:tcPr>
          <w:p w14:paraId="6F0E6AF3"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906.865,76</w:t>
            </w:r>
          </w:p>
        </w:tc>
      </w:tr>
      <w:tr w:rsidR="000260A2" w14:paraId="719671AD" w14:textId="77777777" w:rsidTr="009C76AF">
        <w:tc>
          <w:tcPr>
            <w:tcW w:w="3252" w:type="dxa"/>
          </w:tcPr>
          <w:p w14:paraId="3B84FD56"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 xml:space="preserve">Rashodi za nabavu </w:t>
            </w:r>
            <w:proofErr w:type="spellStart"/>
            <w:r>
              <w:rPr>
                <w:rFonts w:ascii="Times New Roman" w:hAnsi="Times New Roman" w:cs="Times New Roman"/>
                <w:sz w:val="20"/>
                <w:szCs w:val="20"/>
              </w:rPr>
              <w:t>neproizvedene</w:t>
            </w:r>
            <w:proofErr w:type="spellEnd"/>
            <w:r>
              <w:rPr>
                <w:rFonts w:ascii="Times New Roman" w:hAnsi="Times New Roman" w:cs="Times New Roman"/>
                <w:sz w:val="20"/>
                <w:szCs w:val="20"/>
              </w:rPr>
              <w:t xml:space="preserve"> dugotrajne imovine</w:t>
            </w:r>
          </w:p>
        </w:tc>
        <w:tc>
          <w:tcPr>
            <w:tcW w:w="1507" w:type="dxa"/>
          </w:tcPr>
          <w:p w14:paraId="77F78E53"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507" w:type="dxa"/>
          </w:tcPr>
          <w:p w14:paraId="6F1C0E4B"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2376" w:type="dxa"/>
          </w:tcPr>
          <w:p w14:paraId="225D5519"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4.500,00</w:t>
            </w:r>
          </w:p>
        </w:tc>
      </w:tr>
      <w:tr w:rsidR="000260A2" w14:paraId="35AB64C8" w14:textId="77777777" w:rsidTr="009C76AF">
        <w:tc>
          <w:tcPr>
            <w:tcW w:w="3252" w:type="dxa"/>
          </w:tcPr>
          <w:p w14:paraId="3393F2A2"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Rashodi za nabavu proizvedene dugotrajne imovine</w:t>
            </w:r>
          </w:p>
        </w:tc>
        <w:tc>
          <w:tcPr>
            <w:tcW w:w="1507" w:type="dxa"/>
          </w:tcPr>
          <w:p w14:paraId="4DD00332"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493.685,36</w:t>
            </w:r>
          </w:p>
        </w:tc>
        <w:tc>
          <w:tcPr>
            <w:tcW w:w="1507" w:type="dxa"/>
          </w:tcPr>
          <w:p w14:paraId="401786E8"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730.282,00</w:t>
            </w:r>
          </w:p>
        </w:tc>
        <w:tc>
          <w:tcPr>
            <w:tcW w:w="2376" w:type="dxa"/>
          </w:tcPr>
          <w:p w14:paraId="619F41C7"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1.026.204,34</w:t>
            </w:r>
          </w:p>
        </w:tc>
      </w:tr>
      <w:tr w:rsidR="000260A2" w14:paraId="092611F6" w14:textId="77777777" w:rsidTr="009C76AF">
        <w:tc>
          <w:tcPr>
            <w:tcW w:w="3252" w:type="dxa"/>
            <w:shd w:val="clear" w:color="auto" w:fill="DBE5F1" w:themeFill="accent1" w:themeFillTint="33"/>
          </w:tcPr>
          <w:p w14:paraId="0B461F4E"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UKUPNO RASHODI ZA NABAVU NEFINANCIJSKE IMOVINE</w:t>
            </w:r>
          </w:p>
        </w:tc>
        <w:tc>
          <w:tcPr>
            <w:tcW w:w="1507" w:type="dxa"/>
            <w:shd w:val="clear" w:color="auto" w:fill="DBE5F1" w:themeFill="accent1" w:themeFillTint="33"/>
          </w:tcPr>
          <w:p w14:paraId="1C2BB43A"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493.685,36</w:t>
            </w:r>
          </w:p>
        </w:tc>
        <w:tc>
          <w:tcPr>
            <w:tcW w:w="1507" w:type="dxa"/>
            <w:shd w:val="clear" w:color="auto" w:fill="DBE5F1" w:themeFill="accent1" w:themeFillTint="33"/>
          </w:tcPr>
          <w:p w14:paraId="53ADD416"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730.282,00</w:t>
            </w:r>
          </w:p>
        </w:tc>
        <w:tc>
          <w:tcPr>
            <w:tcW w:w="2376" w:type="dxa"/>
            <w:shd w:val="clear" w:color="auto" w:fill="DBE5F1" w:themeFill="accent1" w:themeFillTint="33"/>
          </w:tcPr>
          <w:p w14:paraId="4EAE209D"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1.030.704,34</w:t>
            </w:r>
          </w:p>
        </w:tc>
      </w:tr>
      <w:tr w:rsidR="000260A2" w14:paraId="3182DB0D" w14:textId="77777777" w:rsidTr="009C76AF">
        <w:tc>
          <w:tcPr>
            <w:tcW w:w="3252" w:type="dxa"/>
            <w:shd w:val="clear" w:color="auto" w:fill="FFFFFF" w:themeFill="background1"/>
          </w:tcPr>
          <w:p w14:paraId="148BC590" w14:textId="77777777" w:rsidR="000260A2" w:rsidRDefault="000260A2" w:rsidP="00F13363">
            <w:pPr>
              <w:pStyle w:val="Bezproreda"/>
              <w:spacing w:line="276" w:lineRule="auto"/>
              <w:rPr>
                <w:rFonts w:ascii="Times New Roman" w:hAnsi="Times New Roman" w:cs="Times New Roman"/>
                <w:bCs/>
                <w:sz w:val="20"/>
                <w:szCs w:val="20"/>
              </w:rPr>
            </w:pPr>
            <w:r>
              <w:rPr>
                <w:rFonts w:ascii="Times New Roman" w:hAnsi="Times New Roman" w:cs="Times New Roman"/>
                <w:bCs/>
                <w:sz w:val="20"/>
                <w:szCs w:val="20"/>
              </w:rPr>
              <w:t>Izdaci za otplatu glavnice primljenih kredita i zajmova</w:t>
            </w:r>
          </w:p>
        </w:tc>
        <w:tc>
          <w:tcPr>
            <w:tcW w:w="1507" w:type="dxa"/>
            <w:shd w:val="clear" w:color="auto" w:fill="FFFFFF" w:themeFill="background1"/>
          </w:tcPr>
          <w:p w14:paraId="5126EBD2"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119.990,84</w:t>
            </w:r>
          </w:p>
        </w:tc>
        <w:tc>
          <w:tcPr>
            <w:tcW w:w="1507" w:type="dxa"/>
            <w:shd w:val="clear" w:color="auto" w:fill="FFFFFF" w:themeFill="background1"/>
          </w:tcPr>
          <w:p w14:paraId="5D31AE34"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50.795,48</w:t>
            </w:r>
          </w:p>
        </w:tc>
        <w:tc>
          <w:tcPr>
            <w:tcW w:w="2376" w:type="dxa"/>
            <w:shd w:val="clear" w:color="auto" w:fill="FFFFFF" w:themeFill="background1"/>
          </w:tcPr>
          <w:p w14:paraId="55F4F5B4"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43.115,27</w:t>
            </w:r>
          </w:p>
        </w:tc>
      </w:tr>
      <w:tr w:rsidR="000260A2" w14:paraId="3ECC6BFC" w14:textId="77777777" w:rsidTr="009C76AF">
        <w:tc>
          <w:tcPr>
            <w:tcW w:w="3252" w:type="dxa"/>
            <w:shd w:val="clear" w:color="auto" w:fill="DBE5F1" w:themeFill="accent1" w:themeFillTint="33"/>
          </w:tcPr>
          <w:p w14:paraId="041A4157" w14:textId="77777777" w:rsidR="000260A2" w:rsidRDefault="000260A2" w:rsidP="00F13363">
            <w:pPr>
              <w:pStyle w:val="Bezproreda"/>
              <w:spacing w:line="276" w:lineRule="auto"/>
              <w:rPr>
                <w:rFonts w:ascii="Times New Roman" w:hAnsi="Times New Roman" w:cs="Times New Roman"/>
                <w:bCs/>
                <w:sz w:val="20"/>
                <w:szCs w:val="20"/>
              </w:rPr>
            </w:pPr>
            <w:r>
              <w:rPr>
                <w:rFonts w:ascii="Times New Roman" w:hAnsi="Times New Roman" w:cs="Times New Roman"/>
                <w:bCs/>
                <w:sz w:val="20"/>
                <w:szCs w:val="20"/>
              </w:rPr>
              <w:t>UKUPNO IZDACI:</w:t>
            </w:r>
          </w:p>
        </w:tc>
        <w:tc>
          <w:tcPr>
            <w:tcW w:w="1507" w:type="dxa"/>
            <w:shd w:val="clear" w:color="auto" w:fill="DBE5F1" w:themeFill="accent1" w:themeFillTint="33"/>
          </w:tcPr>
          <w:p w14:paraId="7E49623F"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119.990,84</w:t>
            </w:r>
          </w:p>
        </w:tc>
        <w:tc>
          <w:tcPr>
            <w:tcW w:w="1507" w:type="dxa"/>
            <w:shd w:val="clear" w:color="auto" w:fill="DBE5F1" w:themeFill="accent1" w:themeFillTint="33"/>
          </w:tcPr>
          <w:p w14:paraId="604AFB34"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50.795,48</w:t>
            </w:r>
          </w:p>
        </w:tc>
        <w:tc>
          <w:tcPr>
            <w:tcW w:w="2376" w:type="dxa"/>
            <w:shd w:val="clear" w:color="auto" w:fill="DBE5F1" w:themeFill="accent1" w:themeFillTint="33"/>
          </w:tcPr>
          <w:p w14:paraId="3793DE85" w14:textId="77777777" w:rsidR="000260A2" w:rsidRDefault="000260A2" w:rsidP="00F13363">
            <w:pPr>
              <w:pStyle w:val="Bezproreda"/>
              <w:spacing w:line="276" w:lineRule="auto"/>
              <w:jc w:val="right"/>
              <w:rPr>
                <w:rFonts w:ascii="Times New Roman" w:hAnsi="Times New Roman" w:cs="Times New Roman"/>
                <w:bCs/>
                <w:sz w:val="20"/>
                <w:szCs w:val="20"/>
              </w:rPr>
            </w:pPr>
            <w:r>
              <w:rPr>
                <w:rFonts w:ascii="Times New Roman" w:hAnsi="Times New Roman" w:cs="Times New Roman"/>
                <w:bCs/>
                <w:sz w:val="20"/>
                <w:szCs w:val="20"/>
              </w:rPr>
              <w:t>43.115,27</w:t>
            </w:r>
          </w:p>
        </w:tc>
      </w:tr>
      <w:tr w:rsidR="000260A2" w14:paraId="751DBBBF" w14:textId="77777777" w:rsidTr="009C76AF">
        <w:tc>
          <w:tcPr>
            <w:tcW w:w="3252" w:type="dxa"/>
            <w:shd w:val="clear" w:color="auto" w:fill="B8CCE4" w:themeFill="accent1" w:themeFillTint="66"/>
          </w:tcPr>
          <w:p w14:paraId="435769F4" w14:textId="77777777" w:rsidR="000260A2" w:rsidRDefault="000260A2" w:rsidP="00F13363">
            <w:pPr>
              <w:pStyle w:val="Bezproreda"/>
              <w:spacing w:line="276" w:lineRule="auto"/>
              <w:rPr>
                <w:rFonts w:ascii="Times New Roman" w:hAnsi="Times New Roman" w:cs="Times New Roman"/>
                <w:b/>
                <w:sz w:val="20"/>
                <w:szCs w:val="20"/>
              </w:rPr>
            </w:pPr>
            <w:r>
              <w:rPr>
                <w:rFonts w:ascii="Times New Roman" w:hAnsi="Times New Roman" w:cs="Times New Roman"/>
                <w:b/>
                <w:sz w:val="20"/>
                <w:szCs w:val="20"/>
              </w:rPr>
              <w:t>UKUPNO RASHODI I IZDACI:</w:t>
            </w:r>
          </w:p>
        </w:tc>
        <w:tc>
          <w:tcPr>
            <w:tcW w:w="1507" w:type="dxa"/>
            <w:shd w:val="clear" w:color="auto" w:fill="B8CCE4" w:themeFill="accent1" w:themeFillTint="66"/>
          </w:tcPr>
          <w:p w14:paraId="0B889374" w14:textId="77777777" w:rsidR="000260A2" w:rsidRDefault="000260A2" w:rsidP="00F13363">
            <w:pPr>
              <w:pStyle w:val="Bezproreda"/>
              <w:spacing w:line="276" w:lineRule="auto"/>
              <w:jc w:val="right"/>
              <w:rPr>
                <w:rFonts w:ascii="Times New Roman" w:hAnsi="Times New Roman" w:cs="Times New Roman"/>
                <w:b/>
                <w:sz w:val="20"/>
                <w:szCs w:val="20"/>
              </w:rPr>
            </w:pPr>
            <w:r>
              <w:rPr>
                <w:rFonts w:ascii="Times New Roman" w:hAnsi="Times New Roman" w:cs="Times New Roman"/>
                <w:b/>
                <w:sz w:val="20"/>
                <w:szCs w:val="20"/>
              </w:rPr>
              <w:t>1.277.789,51</w:t>
            </w:r>
          </w:p>
        </w:tc>
        <w:tc>
          <w:tcPr>
            <w:tcW w:w="1507" w:type="dxa"/>
            <w:shd w:val="clear" w:color="auto" w:fill="B8CCE4" w:themeFill="accent1" w:themeFillTint="66"/>
          </w:tcPr>
          <w:p w14:paraId="118D8C81" w14:textId="77777777" w:rsidR="000260A2" w:rsidRDefault="000260A2" w:rsidP="00F13363">
            <w:pPr>
              <w:pStyle w:val="Bezproreda"/>
              <w:spacing w:line="276" w:lineRule="auto"/>
              <w:jc w:val="right"/>
              <w:rPr>
                <w:rFonts w:ascii="Times New Roman" w:hAnsi="Times New Roman" w:cs="Times New Roman"/>
                <w:b/>
                <w:sz w:val="20"/>
                <w:szCs w:val="20"/>
              </w:rPr>
            </w:pPr>
            <w:r>
              <w:rPr>
                <w:rFonts w:ascii="Times New Roman" w:hAnsi="Times New Roman" w:cs="Times New Roman"/>
                <w:b/>
                <w:sz w:val="20"/>
                <w:szCs w:val="20"/>
              </w:rPr>
              <w:t>1.577.523,99</w:t>
            </w:r>
          </w:p>
        </w:tc>
        <w:tc>
          <w:tcPr>
            <w:tcW w:w="2376" w:type="dxa"/>
            <w:shd w:val="clear" w:color="auto" w:fill="B8CCE4" w:themeFill="accent1" w:themeFillTint="66"/>
          </w:tcPr>
          <w:p w14:paraId="7E53EFA6" w14:textId="77777777" w:rsidR="000260A2" w:rsidRDefault="000260A2" w:rsidP="00F13363">
            <w:pPr>
              <w:pStyle w:val="Bezproreda"/>
              <w:spacing w:line="276" w:lineRule="auto"/>
              <w:jc w:val="right"/>
              <w:rPr>
                <w:rFonts w:ascii="Times New Roman" w:hAnsi="Times New Roman" w:cs="Times New Roman"/>
                <w:b/>
                <w:sz w:val="20"/>
                <w:szCs w:val="20"/>
              </w:rPr>
            </w:pPr>
            <w:r>
              <w:rPr>
                <w:rFonts w:ascii="Times New Roman" w:hAnsi="Times New Roman" w:cs="Times New Roman"/>
                <w:b/>
                <w:sz w:val="20"/>
                <w:szCs w:val="20"/>
              </w:rPr>
              <w:t>1.980.685,37</w:t>
            </w:r>
          </w:p>
        </w:tc>
      </w:tr>
    </w:tbl>
    <w:p w14:paraId="10B885C0" w14:textId="77777777" w:rsidR="000260A2" w:rsidRDefault="000260A2" w:rsidP="000260A2">
      <w:pPr>
        <w:ind w:firstLine="708"/>
        <w:jc w:val="both"/>
        <w:rPr>
          <w:rFonts w:ascii="Times New Roman" w:hAnsi="Times New Roman" w:cs="Times New Roman"/>
          <w:sz w:val="20"/>
          <w:szCs w:val="20"/>
        </w:rPr>
      </w:pPr>
    </w:p>
    <w:p w14:paraId="11EFD7DE" w14:textId="77777777" w:rsidR="000260A2" w:rsidRDefault="000260A2" w:rsidP="000260A2">
      <w:pPr>
        <w:ind w:firstLine="708"/>
        <w:jc w:val="both"/>
        <w:rPr>
          <w:rFonts w:ascii="Times New Roman" w:hAnsi="Times New Roman" w:cs="Times New Roman"/>
        </w:rPr>
      </w:pPr>
      <w:r>
        <w:rPr>
          <w:rFonts w:ascii="Times New Roman" w:hAnsi="Times New Roman" w:cs="Times New Roman"/>
        </w:rPr>
        <w:lastRenderedPageBreak/>
        <w:t xml:space="preserve">Indeks ostvarenja ukupnih rashoda i izdataka 2024. godine u odnosu na 2023. godinu iznosi 123,46. Svi rashodi poslovanja te rashodi za nabavu nefinancijske imovine bilježe rast dok su se izdaci za otplatu kredita i zajmova smanjili s indeksom 42,33.  </w:t>
      </w:r>
    </w:p>
    <w:p w14:paraId="39390D35" w14:textId="77777777" w:rsidR="000260A2" w:rsidRDefault="000260A2" w:rsidP="000260A2">
      <w:pPr>
        <w:ind w:firstLine="708"/>
        <w:jc w:val="both"/>
        <w:rPr>
          <w:rFonts w:ascii="Times New Roman" w:hAnsi="Times New Roman" w:cs="Times New Roman"/>
        </w:rPr>
      </w:pPr>
      <w:r>
        <w:rPr>
          <w:rFonts w:ascii="Times New Roman" w:hAnsi="Times New Roman" w:cs="Times New Roman"/>
        </w:rPr>
        <w:t xml:space="preserve">Indeks ostvarenja ukupnih rashoda i izdataka 2025. godine u odnosu na 2024. godinu iznosi 125,56. Rashodi za tekuće poslovanje ostvareni su s laganim povećanjem odnosno indeksom 113,86 što se može pripisati povećanju cijena na tržištu, međutim rashodi za nabavu nefinancijske imovine bilježe znatno povećanje s indeksom 141,14 a odnose se na projekte Društveni dom </w:t>
      </w:r>
      <w:proofErr w:type="spellStart"/>
      <w:r>
        <w:rPr>
          <w:rFonts w:ascii="Times New Roman" w:hAnsi="Times New Roman" w:cs="Times New Roman"/>
        </w:rPr>
        <w:t>Kuntrata</w:t>
      </w:r>
      <w:proofErr w:type="spellEnd"/>
      <w:r>
        <w:rPr>
          <w:rFonts w:ascii="Times New Roman" w:hAnsi="Times New Roman" w:cs="Times New Roman"/>
        </w:rPr>
        <w:t xml:space="preserve">, Igralište </w:t>
      </w:r>
      <w:proofErr w:type="spellStart"/>
      <w:r>
        <w:rPr>
          <w:rFonts w:ascii="Times New Roman" w:hAnsi="Times New Roman" w:cs="Times New Roman"/>
        </w:rPr>
        <w:t>Kušnjak</w:t>
      </w:r>
      <w:proofErr w:type="spellEnd"/>
      <w:r>
        <w:rPr>
          <w:rFonts w:ascii="Times New Roman" w:hAnsi="Times New Roman" w:cs="Times New Roman"/>
        </w:rPr>
        <w:t xml:space="preserve">, Vidikovac Straža, Dječje igralište Ugrinić, Šetnica Ugrinić, Plaža </w:t>
      </w:r>
      <w:proofErr w:type="spellStart"/>
      <w:r>
        <w:rPr>
          <w:rFonts w:ascii="Times New Roman" w:hAnsi="Times New Roman" w:cs="Times New Roman"/>
        </w:rPr>
        <w:t>Vruljice</w:t>
      </w:r>
      <w:proofErr w:type="spellEnd"/>
      <w:r>
        <w:rPr>
          <w:rFonts w:ascii="Times New Roman" w:hAnsi="Times New Roman" w:cs="Times New Roman"/>
        </w:rPr>
        <w:t xml:space="preserve">, Trgovi Općine Tkon, Zvonik crkve sv. Tome Apostola, Nerazvrstane ceste i Javno prometne površine, a sve s pripadajućom opremom i projektnom dokumentacijom. </w:t>
      </w:r>
    </w:p>
    <w:p w14:paraId="5CBC6E83" w14:textId="77777777" w:rsidR="000260A2" w:rsidRDefault="000260A2" w:rsidP="000260A2">
      <w:pPr>
        <w:pStyle w:val="Bezproreda"/>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14:paraId="43E883A3" w14:textId="77777777" w:rsidR="000260A2" w:rsidRDefault="000260A2" w:rsidP="000260A2">
      <w:pPr>
        <w:pStyle w:val="Bezproreda"/>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REZULTAT POSLOVANJA       </w:t>
      </w:r>
    </w:p>
    <w:p w14:paraId="4A0EDB35" w14:textId="77777777" w:rsidR="000260A2" w:rsidRDefault="000260A2" w:rsidP="000260A2">
      <w:pPr>
        <w:pStyle w:val="Bezproreda"/>
        <w:spacing w:line="276" w:lineRule="auto"/>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3483"/>
        <w:gridCol w:w="1398"/>
        <w:gridCol w:w="1391"/>
        <w:gridCol w:w="2228"/>
      </w:tblGrid>
      <w:tr w:rsidR="000260A2" w14:paraId="1487E186" w14:textId="77777777" w:rsidTr="009C76AF">
        <w:tc>
          <w:tcPr>
            <w:tcW w:w="3483" w:type="dxa"/>
            <w:shd w:val="clear" w:color="auto" w:fill="B8CCE4" w:themeFill="accent1" w:themeFillTint="66"/>
          </w:tcPr>
          <w:p w14:paraId="36FC55AC"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OPIS</w:t>
            </w:r>
          </w:p>
        </w:tc>
        <w:tc>
          <w:tcPr>
            <w:tcW w:w="1398" w:type="dxa"/>
            <w:shd w:val="clear" w:color="auto" w:fill="B8CCE4" w:themeFill="accent1" w:themeFillTint="66"/>
          </w:tcPr>
          <w:p w14:paraId="096F8406"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IZVRŠENJE 31.12.2023.</w:t>
            </w:r>
          </w:p>
        </w:tc>
        <w:tc>
          <w:tcPr>
            <w:tcW w:w="1391" w:type="dxa"/>
            <w:shd w:val="clear" w:color="auto" w:fill="B8CCE4" w:themeFill="accent1" w:themeFillTint="66"/>
          </w:tcPr>
          <w:p w14:paraId="16289A2C"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IZVRŠENJE 31.12.2024.</w:t>
            </w:r>
          </w:p>
        </w:tc>
        <w:tc>
          <w:tcPr>
            <w:tcW w:w="2228" w:type="dxa"/>
            <w:shd w:val="clear" w:color="auto" w:fill="B8CCE4" w:themeFill="accent1" w:themeFillTint="66"/>
          </w:tcPr>
          <w:p w14:paraId="2EAF421B" w14:textId="77777777" w:rsidR="000260A2" w:rsidRDefault="000260A2" w:rsidP="00F13363">
            <w:pPr>
              <w:pStyle w:val="Bezproreda"/>
              <w:spacing w:line="276" w:lineRule="auto"/>
              <w:jc w:val="center"/>
              <w:rPr>
                <w:rFonts w:ascii="Times New Roman" w:hAnsi="Times New Roman" w:cs="Times New Roman"/>
                <w:b/>
                <w:sz w:val="20"/>
                <w:szCs w:val="20"/>
              </w:rPr>
            </w:pPr>
            <w:r>
              <w:rPr>
                <w:rFonts w:ascii="Times New Roman" w:hAnsi="Times New Roman" w:cs="Times New Roman"/>
                <w:b/>
                <w:sz w:val="20"/>
                <w:szCs w:val="20"/>
              </w:rPr>
              <w:t>IZVRŠENJE 31.12.2025.</w:t>
            </w:r>
          </w:p>
        </w:tc>
      </w:tr>
      <w:tr w:rsidR="000260A2" w14:paraId="62347258" w14:textId="77777777" w:rsidTr="009C76AF">
        <w:tc>
          <w:tcPr>
            <w:tcW w:w="3483" w:type="dxa"/>
          </w:tcPr>
          <w:p w14:paraId="3BE391BE"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Ukupni prihodi</w:t>
            </w:r>
          </w:p>
        </w:tc>
        <w:tc>
          <w:tcPr>
            <w:tcW w:w="1398" w:type="dxa"/>
          </w:tcPr>
          <w:p w14:paraId="245B0B7A"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1.334.538,71</w:t>
            </w:r>
          </w:p>
        </w:tc>
        <w:tc>
          <w:tcPr>
            <w:tcW w:w="1391" w:type="dxa"/>
          </w:tcPr>
          <w:p w14:paraId="53D41EE9"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1.475.398,44</w:t>
            </w:r>
          </w:p>
        </w:tc>
        <w:tc>
          <w:tcPr>
            <w:tcW w:w="2228" w:type="dxa"/>
          </w:tcPr>
          <w:p w14:paraId="0BB2B773"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1.445.487,92</w:t>
            </w:r>
          </w:p>
        </w:tc>
      </w:tr>
      <w:tr w:rsidR="000260A2" w14:paraId="0A3C4914" w14:textId="77777777" w:rsidTr="009C76AF">
        <w:tc>
          <w:tcPr>
            <w:tcW w:w="3483" w:type="dxa"/>
          </w:tcPr>
          <w:p w14:paraId="11138352"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Ukupni primici</w:t>
            </w:r>
          </w:p>
        </w:tc>
        <w:tc>
          <w:tcPr>
            <w:tcW w:w="1398" w:type="dxa"/>
          </w:tcPr>
          <w:p w14:paraId="34A1A31A"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9,26</w:t>
            </w:r>
          </w:p>
        </w:tc>
        <w:tc>
          <w:tcPr>
            <w:tcW w:w="1391" w:type="dxa"/>
          </w:tcPr>
          <w:p w14:paraId="37FAECC5"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2228" w:type="dxa"/>
          </w:tcPr>
          <w:p w14:paraId="305A109E"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84.999,98</w:t>
            </w:r>
          </w:p>
        </w:tc>
      </w:tr>
      <w:tr w:rsidR="000260A2" w14:paraId="7C401F28" w14:textId="77777777" w:rsidTr="009C76AF">
        <w:tc>
          <w:tcPr>
            <w:tcW w:w="3483" w:type="dxa"/>
          </w:tcPr>
          <w:p w14:paraId="45CC4946"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Ukupni rashodi</w:t>
            </w:r>
          </w:p>
        </w:tc>
        <w:tc>
          <w:tcPr>
            <w:tcW w:w="1398" w:type="dxa"/>
          </w:tcPr>
          <w:p w14:paraId="4923E76F"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1.157.798,67</w:t>
            </w:r>
          </w:p>
        </w:tc>
        <w:tc>
          <w:tcPr>
            <w:tcW w:w="1391" w:type="dxa"/>
          </w:tcPr>
          <w:p w14:paraId="01726179"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1.526.728,51</w:t>
            </w:r>
          </w:p>
        </w:tc>
        <w:tc>
          <w:tcPr>
            <w:tcW w:w="2228" w:type="dxa"/>
          </w:tcPr>
          <w:p w14:paraId="1C1211C3"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1.937.570,10</w:t>
            </w:r>
          </w:p>
        </w:tc>
      </w:tr>
      <w:tr w:rsidR="000260A2" w14:paraId="07988EF1" w14:textId="77777777" w:rsidTr="009C76AF">
        <w:tc>
          <w:tcPr>
            <w:tcW w:w="3483" w:type="dxa"/>
          </w:tcPr>
          <w:p w14:paraId="42F84B83"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Ukupni izdaci</w:t>
            </w:r>
          </w:p>
        </w:tc>
        <w:tc>
          <w:tcPr>
            <w:tcW w:w="1398" w:type="dxa"/>
          </w:tcPr>
          <w:p w14:paraId="4A75BA21"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119.990,84</w:t>
            </w:r>
          </w:p>
        </w:tc>
        <w:tc>
          <w:tcPr>
            <w:tcW w:w="1391" w:type="dxa"/>
          </w:tcPr>
          <w:p w14:paraId="21726027"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50.795,48</w:t>
            </w:r>
          </w:p>
        </w:tc>
        <w:tc>
          <w:tcPr>
            <w:tcW w:w="2228" w:type="dxa"/>
          </w:tcPr>
          <w:p w14:paraId="3BDF7BAE"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43.115,27</w:t>
            </w:r>
          </w:p>
        </w:tc>
      </w:tr>
      <w:tr w:rsidR="000260A2" w14:paraId="5B9EB4B5" w14:textId="77777777" w:rsidTr="009C76AF">
        <w:tc>
          <w:tcPr>
            <w:tcW w:w="3483" w:type="dxa"/>
          </w:tcPr>
          <w:p w14:paraId="02B06708"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Financijski rezultat</w:t>
            </w:r>
          </w:p>
        </w:tc>
        <w:tc>
          <w:tcPr>
            <w:tcW w:w="1398" w:type="dxa"/>
          </w:tcPr>
          <w:p w14:paraId="446D4937"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56.758,45</w:t>
            </w:r>
          </w:p>
        </w:tc>
        <w:tc>
          <w:tcPr>
            <w:tcW w:w="1391" w:type="dxa"/>
          </w:tcPr>
          <w:p w14:paraId="2F9E9C60"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-102.125,55</w:t>
            </w:r>
          </w:p>
        </w:tc>
        <w:tc>
          <w:tcPr>
            <w:tcW w:w="2228" w:type="dxa"/>
          </w:tcPr>
          <w:p w14:paraId="72E1CDBD"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-450.197,47</w:t>
            </w:r>
          </w:p>
        </w:tc>
      </w:tr>
      <w:tr w:rsidR="000260A2" w14:paraId="00AABD2F" w14:textId="77777777" w:rsidTr="009C76AF">
        <w:tc>
          <w:tcPr>
            <w:tcW w:w="3483" w:type="dxa"/>
          </w:tcPr>
          <w:p w14:paraId="72877711"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Preneseni rezultat iz prethodnih godina</w:t>
            </w:r>
          </w:p>
        </w:tc>
        <w:tc>
          <w:tcPr>
            <w:tcW w:w="1398" w:type="dxa"/>
          </w:tcPr>
          <w:p w14:paraId="51EFB5EB"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-62.994,24</w:t>
            </w:r>
          </w:p>
        </w:tc>
        <w:tc>
          <w:tcPr>
            <w:tcW w:w="1391" w:type="dxa"/>
          </w:tcPr>
          <w:p w14:paraId="7422E431"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-6.235,78</w:t>
            </w:r>
          </w:p>
        </w:tc>
        <w:tc>
          <w:tcPr>
            <w:tcW w:w="2228" w:type="dxa"/>
          </w:tcPr>
          <w:p w14:paraId="7999143F"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-108.361,33</w:t>
            </w:r>
          </w:p>
        </w:tc>
      </w:tr>
      <w:tr w:rsidR="000260A2" w14:paraId="76065E95" w14:textId="77777777" w:rsidTr="009C76AF">
        <w:tc>
          <w:tcPr>
            <w:tcW w:w="3483" w:type="dxa"/>
          </w:tcPr>
          <w:p w14:paraId="31287723"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Manjak za pokriće u sljedećem razdoblju</w:t>
            </w:r>
          </w:p>
        </w:tc>
        <w:tc>
          <w:tcPr>
            <w:tcW w:w="1398" w:type="dxa"/>
          </w:tcPr>
          <w:p w14:paraId="786F42FE"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-6.235,78</w:t>
            </w:r>
          </w:p>
        </w:tc>
        <w:tc>
          <w:tcPr>
            <w:tcW w:w="1391" w:type="dxa"/>
          </w:tcPr>
          <w:p w14:paraId="5F6A0857"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-108.361,33</w:t>
            </w:r>
          </w:p>
        </w:tc>
        <w:tc>
          <w:tcPr>
            <w:tcW w:w="2228" w:type="dxa"/>
          </w:tcPr>
          <w:p w14:paraId="01CECFCB" w14:textId="77777777" w:rsidR="000260A2" w:rsidRDefault="000260A2" w:rsidP="00F13363">
            <w:pPr>
              <w:pStyle w:val="Bezproreda"/>
              <w:spacing w:line="276" w:lineRule="auto"/>
              <w:jc w:val="right"/>
              <w:rPr>
                <w:rFonts w:ascii="Times New Roman" w:hAnsi="Times New Roman" w:cs="Times New Roman"/>
                <w:sz w:val="20"/>
                <w:szCs w:val="20"/>
              </w:rPr>
            </w:pPr>
            <w:r>
              <w:rPr>
                <w:rFonts w:ascii="Times New Roman" w:hAnsi="Times New Roman" w:cs="Times New Roman"/>
                <w:sz w:val="20"/>
                <w:szCs w:val="20"/>
              </w:rPr>
              <w:t>-558.558,80</w:t>
            </w:r>
          </w:p>
        </w:tc>
      </w:tr>
    </w:tbl>
    <w:p w14:paraId="6D67710A" w14:textId="77777777" w:rsidR="000260A2" w:rsidRDefault="000260A2" w:rsidP="000260A2">
      <w:pPr>
        <w:pStyle w:val="Bezproreda"/>
        <w:spacing w:line="276" w:lineRule="auto"/>
        <w:ind w:firstLine="708"/>
        <w:jc w:val="both"/>
        <w:rPr>
          <w:rFonts w:ascii="Times New Roman" w:hAnsi="Times New Roman" w:cs="Times New Roman"/>
          <w:sz w:val="20"/>
          <w:szCs w:val="20"/>
        </w:rPr>
      </w:pPr>
    </w:p>
    <w:p w14:paraId="34688797" w14:textId="77777777" w:rsidR="000260A2" w:rsidRDefault="000260A2" w:rsidP="000260A2">
      <w:pPr>
        <w:pStyle w:val="Bezproreda"/>
        <w:spacing w:line="276" w:lineRule="auto"/>
        <w:ind w:firstLine="708"/>
        <w:jc w:val="both"/>
        <w:rPr>
          <w:rFonts w:ascii="Times New Roman" w:hAnsi="Times New Roman" w:cs="Times New Roman"/>
        </w:rPr>
      </w:pPr>
      <w:r>
        <w:rPr>
          <w:rFonts w:ascii="Times New Roman" w:hAnsi="Times New Roman" w:cs="Times New Roman"/>
        </w:rPr>
        <w:t xml:space="preserve">Preneseni manjak prihoda i primitaka posljedica je višegodišnjih nepovoljnih gospodarskih kretanja u hrvatskom gospodarstvu, uvođenjem valute </w:t>
      </w:r>
      <w:proofErr w:type="spellStart"/>
      <w:r>
        <w:rPr>
          <w:rFonts w:ascii="Times New Roman" w:hAnsi="Times New Roman" w:cs="Times New Roman"/>
        </w:rPr>
        <w:t>eur</w:t>
      </w:r>
      <w:proofErr w:type="spellEnd"/>
      <w:r>
        <w:rPr>
          <w:rFonts w:ascii="Times New Roman" w:hAnsi="Times New Roman" w:cs="Times New Roman"/>
        </w:rPr>
        <w:t xml:space="preserve"> cijene na tržištu višestruko su se povećale  što je utjecalo na rashodovnu stranu proračuna, dok se visina cijena komunalnih usluga i poreznih prihoda nisu povećavale u nekoj znatnijoj mjeri. Na manjak prihoda proračuna također je utjecalo planiranje ostalih prihoda koja se nisu ostvarila, zatim </w:t>
      </w:r>
      <w:r w:rsidRPr="00B97BC5">
        <w:rPr>
          <w:rFonts w:ascii="Times New Roman" w:hAnsi="Times New Roman" w:cs="Times New Roman"/>
        </w:rPr>
        <w:t>kapitaln</w:t>
      </w:r>
      <w:r>
        <w:rPr>
          <w:rFonts w:ascii="Times New Roman" w:hAnsi="Times New Roman" w:cs="Times New Roman"/>
        </w:rPr>
        <w:t>ih</w:t>
      </w:r>
      <w:r w:rsidRPr="00B97BC5">
        <w:rPr>
          <w:rFonts w:ascii="Times New Roman" w:hAnsi="Times New Roman" w:cs="Times New Roman"/>
        </w:rPr>
        <w:t xml:space="preserve"> pomoći za projekte Vidikovac Straža, Trg Fontana tri palme i igralište </w:t>
      </w:r>
      <w:proofErr w:type="spellStart"/>
      <w:r w:rsidRPr="00B97BC5">
        <w:rPr>
          <w:rFonts w:ascii="Times New Roman" w:hAnsi="Times New Roman" w:cs="Times New Roman"/>
        </w:rPr>
        <w:t>Kušnjak</w:t>
      </w:r>
      <w:proofErr w:type="spellEnd"/>
      <w:r w:rsidRPr="00B97BC5">
        <w:rPr>
          <w:rFonts w:ascii="Times New Roman" w:hAnsi="Times New Roman" w:cs="Times New Roman"/>
        </w:rPr>
        <w:t xml:space="preserve"> u iznosu od 190.076,22 </w:t>
      </w:r>
      <w:proofErr w:type="spellStart"/>
      <w:r w:rsidRPr="00B97BC5">
        <w:rPr>
          <w:rFonts w:ascii="Times New Roman" w:hAnsi="Times New Roman" w:cs="Times New Roman"/>
        </w:rPr>
        <w:t>eur</w:t>
      </w:r>
      <w:proofErr w:type="spellEnd"/>
      <w:r w:rsidRPr="00B97BC5">
        <w:rPr>
          <w:rFonts w:ascii="Times New Roman" w:hAnsi="Times New Roman" w:cs="Times New Roman"/>
        </w:rPr>
        <w:t>, od strane državnog proračuna, nisu isplaćene u 2025 godini već u 2026 godini što je djelomično stvorilo manjak prihoda i primitaka tekućeg razdoblja</w:t>
      </w:r>
      <w:r>
        <w:rPr>
          <w:rFonts w:ascii="Times New Roman" w:hAnsi="Times New Roman" w:cs="Times New Roman"/>
        </w:rPr>
        <w:t xml:space="preserve">.  </w:t>
      </w:r>
    </w:p>
    <w:p w14:paraId="2926888B" w14:textId="77777777" w:rsidR="000260A2" w:rsidRDefault="000260A2" w:rsidP="000260A2">
      <w:pPr>
        <w:pStyle w:val="Bezproreda"/>
        <w:spacing w:line="276" w:lineRule="auto"/>
        <w:ind w:firstLine="708"/>
        <w:jc w:val="both"/>
        <w:rPr>
          <w:rFonts w:ascii="Times New Roman" w:hAnsi="Times New Roman" w:cs="Times New Roman"/>
        </w:rPr>
      </w:pPr>
      <w:r>
        <w:rPr>
          <w:rFonts w:ascii="Times New Roman" w:hAnsi="Times New Roman" w:cs="Times New Roman"/>
        </w:rPr>
        <w:t>Unatoč nepovoljnoj financijskoj situaciji, kroz cijelo višegodišnje razdoblje prioritet je bio da se u Proračunu Općine Tkon zadrži postignuta razina standarda u području obrazovanja, socijalne skrbi, kulture, sporta, zaštite i spašavanja, zaštite okoliša te  održavanja komunalne infrastrukture.</w:t>
      </w:r>
    </w:p>
    <w:p w14:paraId="46510A6C" w14:textId="77777777" w:rsidR="000260A2" w:rsidRDefault="000260A2" w:rsidP="000260A2">
      <w:pPr>
        <w:pStyle w:val="Bezproreda"/>
        <w:spacing w:line="276" w:lineRule="auto"/>
        <w:ind w:firstLine="708"/>
        <w:jc w:val="both"/>
        <w:rPr>
          <w:rFonts w:ascii="Times New Roman" w:hAnsi="Times New Roman" w:cs="Times New Roman"/>
        </w:rPr>
      </w:pPr>
      <w:r>
        <w:rPr>
          <w:rFonts w:ascii="Times New Roman" w:hAnsi="Times New Roman" w:cs="Times New Roman"/>
        </w:rPr>
        <w:t>Slijedom navedenog, u proteklim godinama nije bilo dostatnih izvora financiranja da se, uz tekuće proračunske potrebe te pred financiranja projekata pokrije i manjak iz prethodnog razdoblja.</w:t>
      </w:r>
    </w:p>
    <w:p w14:paraId="2E09A77A" w14:textId="77777777" w:rsidR="000260A2" w:rsidRDefault="000260A2" w:rsidP="000260A2">
      <w:pPr>
        <w:pStyle w:val="Bezproreda"/>
        <w:spacing w:line="276" w:lineRule="auto"/>
        <w:ind w:firstLine="708"/>
        <w:jc w:val="both"/>
        <w:rPr>
          <w:rFonts w:ascii="Times New Roman" w:hAnsi="Times New Roman" w:cs="Times New Roman"/>
        </w:rPr>
      </w:pPr>
    </w:p>
    <w:p w14:paraId="436ACFC8" w14:textId="77777777" w:rsidR="000260A2" w:rsidRDefault="000260A2" w:rsidP="000260A2">
      <w:pPr>
        <w:pStyle w:val="Bezproreda"/>
        <w:numPr>
          <w:ilvl w:val="0"/>
          <w:numId w:val="2"/>
        </w:numPr>
        <w:spacing w:line="276" w:lineRule="auto"/>
        <w:rPr>
          <w:rFonts w:ascii="Times New Roman" w:hAnsi="Times New Roman" w:cs="Times New Roman"/>
          <w:b/>
        </w:rPr>
      </w:pPr>
      <w:r>
        <w:rPr>
          <w:rFonts w:ascii="Times New Roman" w:hAnsi="Times New Roman" w:cs="Times New Roman"/>
          <w:b/>
        </w:rPr>
        <w:t>Prijedlog mjera za otklanjanje uzroka negativnog poslovanja i mjera za stabilno poslovanje</w:t>
      </w:r>
    </w:p>
    <w:p w14:paraId="73B20B0A" w14:textId="77777777" w:rsidR="000260A2" w:rsidRDefault="000260A2" w:rsidP="000260A2">
      <w:pPr>
        <w:pStyle w:val="Bezproreda"/>
        <w:numPr>
          <w:ilvl w:val="0"/>
          <w:numId w:val="3"/>
        </w:numPr>
        <w:spacing w:line="276" w:lineRule="auto"/>
        <w:rPr>
          <w:rFonts w:ascii="Times New Roman" w:hAnsi="Times New Roman" w:cs="Times New Roman"/>
        </w:rPr>
      </w:pPr>
      <w:r>
        <w:rPr>
          <w:rFonts w:ascii="Times New Roman" w:hAnsi="Times New Roman" w:cs="Times New Roman"/>
        </w:rPr>
        <w:t>Odlukom o izvršavanju proračuna Općine Tkon za 2026. godinu planirano je sukcesivno pokriće manjka kroz trogodišnje razdoblje</w:t>
      </w:r>
    </w:p>
    <w:p w14:paraId="105E613E" w14:textId="77777777" w:rsidR="000260A2" w:rsidRDefault="000260A2" w:rsidP="000260A2">
      <w:pPr>
        <w:pStyle w:val="Bezproreda"/>
        <w:numPr>
          <w:ilvl w:val="0"/>
          <w:numId w:val="3"/>
        </w:numPr>
        <w:spacing w:line="276" w:lineRule="auto"/>
        <w:rPr>
          <w:rFonts w:ascii="Times New Roman" w:hAnsi="Times New Roman" w:cs="Times New Roman"/>
        </w:rPr>
      </w:pPr>
      <w:r>
        <w:rPr>
          <w:rFonts w:ascii="Times New Roman" w:hAnsi="Times New Roman" w:cs="Times New Roman"/>
        </w:rPr>
        <w:t>Kod planiranja i izvršavanja proračuna prioritet imaju zakonske i ugovorne obveze</w:t>
      </w:r>
    </w:p>
    <w:p w14:paraId="0FC53C80" w14:textId="77777777" w:rsidR="000260A2" w:rsidRDefault="000260A2" w:rsidP="000260A2">
      <w:pPr>
        <w:pStyle w:val="Bezproreda"/>
        <w:numPr>
          <w:ilvl w:val="0"/>
          <w:numId w:val="3"/>
        </w:numPr>
        <w:spacing w:line="276" w:lineRule="auto"/>
        <w:rPr>
          <w:rFonts w:ascii="Times New Roman" w:hAnsi="Times New Roman" w:cs="Times New Roman"/>
        </w:rPr>
      </w:pPr>
      <w:r>
        <w:rPr>
          <w:rFonts w:ascii="Times New Roman" w:hAnsi="Times New Roman" w:cs="Times New Roman"/>
        </w:rPr>
        <w:t>Praćenje naplate prihoda i preuzimanje obveza u skladu s njihovim ostvarenjem</w:t>
      </w:r>
    </w:p>
    <w:p w14:paraId="1CAEBE16" w14:textId="77777777" w:rsidR="000260A2" w:rsidRDefault="000260A2" w:rsidP="000260A2">
      <w:pPr>
        <w:pStyle w:val="Bezproreda"/>
        <w:numPr>
          <w:ilvl w:val="0"/>
          <w:numId w:val="3"/>
        </w:numPr>
        <w:spacing w:line="276" w:lineRule="auto"/>
        <w:rPr>
          <w:rFonts w:ascii="Times New Roman" w:hAnsi="Times New Roman" w:cs="Times New Roman"/>
        </w:rPr>
      </w:pPr>
      <w:r>
        <w:rPr>
          <w:rFonts w:ascii="Times New Roman" w:hAnsi="Times New Roman" w:cs="Times New Roman"/>
        </w:rPr>
        <w:t>Pravovremeno poduzimanje mjera naplate potraživanja</w:t>
      </w:r>
    </w:p>
    <w:p w14:paraId="76BF25AF" w14:textId="77777777" w:rsidR="000260A2" w:rsidRDefault="000260A2" w:rsidP="000260A2">
      <w:pPr>
        <w:pStyle w:val="Bezproreda"/>
        <w:numPr>
          <w:ilvl w:val="0"/>
          <w:numId w:val="3"/>
        </w:numPr>
        <w:spacing w:line="276" w:lineRule="auto"/>
        <w:rPr>
          <w:rFonts w:ascii="Times New Roman" w:hAnsi="Times New Roman" w:cs="Times New Roman"/>
        </w:rPr>
      </w:pPr>
      <w:r>
        <w:rPr>
          <w:rFonts w:ascii="Times New Roman" w:hAnsi="Times New Roman" w:cs="Times New Roman"/>
        </w:rPr>
        <w:t>Povećanje financiranja proračunskih projekata i aktivnosti iz tekućih i kapitalnih pomoći prijavom projekata na natječaje europskih i drugih fondova</w:t>
      </w:r>
    </w:p>
    <w:p w14:paraId="1E15A6A8" w14:textId="77777777" w:rsidR="000260A2" w:rsidRDefault="000260A2" w:rsidP="000260A2">
      <w:pPr>
        <w:pStyle w:val="Bezproreda"/>
        <w:numPr>
          <w:ilvl w:val="0"/>
          <w:numId w:val="3"/>
        </w:numPr>
        <w:spacing w:line="276" w:lineRule="auto"/>
        <w:rPr>
          <w:rFonts w:ascii="Times New Roman" w:hAnsi="Times New Roman" w:cs="Times New Roman"/>
        </w:rPr>
      </w:pPr>
      <w:r>
        <w:rPr>
          <w:rFonts w:ascii="Times New Roman" w:hAnsi="Times New Roman" w:cs="Times New Roman"/>
        </w:rPr>
        <w:t>Upravljanje nekretninama  u vlasništvu općine</w:t>
      </w:r>
    </w:p>
    <w:p w14:paraId="3FA74D14" w14:textId="77777777" w:rsidR="000260A2" w:rsidRDefault="000260A2" w:rsidP="000260A2">
      <w:pPr>
        <w:pStyle w:val="Bezproreda"/>
        <w:numPr>
          <w:ilvl w:val="0"/>
          <w:numId w:val="3"/>
        </w:numPr>
        <w:spacing w:line="276" w:lineRule="auto"/>
        <w:rPr>
          <w:rFonts w:ascii="Times New Roman" w:hAnsi="Times New Roman" w:cs="Times New Roman"/>
        </w:rPr>
      </w:pPr>
      <w:r>
        <w:rPr>
          <w:rFonts w:ascii="Times New Roman" w:hAnsi="Times New Roman" w:cs="Times New Roman"/>
        </w:rPr>
        <w:t>Smanjenje materijalnih rashoda uz zadržavanje kvalitete rada i pružanja usluga građanima</w:t>
      </w:r>
    </w:p>
    <w:p w14:paraId="1044CE23" w14:textId="77777777" w:rsidR="000260A2" w:rsidRDefault="000260A2" w:rsidP="000260A2">
      <w:pPr>
        <w:pStyle w:val="Bezproreda"/>
        <w:spacing w:line="276" w:lineRule="auto"/>
        <w:rPr>
          <w:rFonts w:ascii="Times New Roman" w:hAnsi="Times New Roman" w:cs="Times New Roman"/>
        </w:rPr>
      </w:pPr>
    </w:p>
    <w:p w14:paraId="2D1ED362" w14:textId="77777777" w:rsidR="000260A2" w:rsidRDefault="000260A2" w:rsidP="000260A2">
      <w:pPr>
        <w:pStyle w:val="Bezproreda"/>
        <w:numPr>
          <w:ilvl w:val="0"/>
          <w:numId w:val="2"/>
        </w:numPr>
        <w:spacing w:line="276" w:lineRule="auto"/>
        <w:rPr>
          <w:rFonts w:ascii="Times New Roman" w:hAnsi="Times New Roman" w:cs="Times New Roman"/>
          <w:b/>
        </w:rPr>
      </w:pPr>
      <w:r>
        <w:rPr>
          <w:rFonts w:ascii="Times New Roman" w:hAnsi="Times New Roman" w:cs="Times New Roman"/>
          <w:b/>
        </w:rPr>
        <w:lastRenderedPageBreak/>
        <w:t>Akcijski plan provedbe mjera</w:t>
      </w:r>
    </w:p>
    <w:p w14:paraId="12A01D30" w14:textId="77777777" w:rsidR="000260A2" w:rsidRDefault="000260A2" w:rsidP="000260A2">
      <w:pPr>
        <w:pStyle w:val="Bezproreda"/>
        <w:spacing w:line="276" w:lineRule="auto"/>
        <w:rPr>
          <w:rFonts w:ascii="Times New Roman" w:hAnsi="Times New Roman" w:cs="Times New Roman"/>
          <w:sz w:val="20"/>
          <w:szCs w:val="20"/>
        </w:rPr>
      </w:pPr>
    </w:p>
    <w:tbl>
      <w:tblPr>
        <w:tblStyle w:val="Reetkatablice"/>
        <w:tblW w:w="9782" w:type="dxa"/>
        <w:tblInd w:w="-289" w:type="dxa"/>
        <w:tblLook w:val="04A0" w:firstRow="1" w:lastRow="0" w:firstColumn="1" w:lastColumn="0" w:noHBand="0" w:noVBand="1"/>
      </w:tblPr>
      <w:tblGrid>
        <w:gridCol w:w="4151"/>
        <w:gridCol w:w="3421"/>
        <w:gridCol w:w="2210"/>
      </w:tblGrid>
      <w:tr w:rsidR="000260A2" w14:paraId="7FC11C1E" w14:textId="77777777" w:rsidTr="009C76AF">
        <w:tc>
          <w:tcPr>
            <w:tcW w:w="4151" w:type="dxa"/>
            <w:shd w:val="clear" w:color="auto" w:fill="EAF1DD" w:themeFill="accent3" w:themeFillTint="33"/>
          </w:tcPr>
          <w:p w14:paraId="238C71F6" w14:textId="77777777" w:rsidR="000260A2" w:rsidRDefault="000260A2" w:rsidP="00F13363">
            <w:pPr>
              <w:pStyle w:val="Bezproreda"/>
              <w:spacing w:line="276" w:lineRule="auto"/>
              <w:jc w:val="center"/>
              <w:rPr>
                <w:rFonts w:ascii="Times New Roman" w:hAnsi="Times New Roman" w:cs="Times New Roman"/>
                <w:sz w:val="20"/>
                <w:szCs w:val="20"/>
              </w:rPr>
            </w:pPr>
            <w:r>
              <w:rPr>
                <w:rFonts w:ascii="Times New Roman" w:hAnsi="Times New Roman" w:cs="Times New Roman"/>
                <w:sz w:val="20"/>
                <w:szCs w:val="20"/>
              </w:rPr>
              <w:t>NAZIV MJERE</w:t>
            </w:r>
          </w:p>
        </w:tc>
        <w:tc>
          <w:tcPr>
            <w:tcW w:w="3421" w:type="dxa"/>
            <w:shd w:val="clear" w:color="auto" w:fill="EAF1DD" w:themeFill="accent3" w:themeFillTint="33"/>
          </w:tcPr>
          <w:p w14:paraId="5DFCB4B2" w14:textId="77777777" w:rsidR="000260A2" w:rsidRDefault="000260A2" w:rsidP="00F13363">
            <w:pPr>
              <w:pStyle w:val="Bezproreda"/>
              <w:spacing w:line="276" w:lineRule="auto"/>
              <w:jc w:val="center"/>
              <w:rPr>
                <w:rFonts w:ascii="Times New Roman" w:hAnsi="Times New Roman" w:cs="Times New Roman"/>
                <w:sz w:val="20"/>
                <w:szCs w:val="20"/>
              </w:rPr>
            </w:pPr>
            <w:r>
              <w:rPr>
                <w:rFonts w:ascii="Times New Roman" w:hAnsi="Times New Roman" w:cs="Times New Roman"/>
                <w:sz w:val="20"/>
                <w:szCs w:val="20"/>
              </w:rPr>
              <w:t>OPIS/NAČIN PROVEDBE</w:t>
            </w:r>
          </w:p>
        </w:tc>
        <w:tc>
          <w:tcPr>
            <w:tcW w:w="2210" w:type="dxa"/>
            <w:shd w:val="clear" w:color="auto" w:fill="EAF1DD" w:themeFill="accent3" w:themeFillTint="33"/>
          </w:tcPr>
          <w:p w14:paraId="42ACF1B2" w14:textId="77777777" w:rsidR="000260A2" w:rsidRDefault="000260A2" w:rsidP="00F13363">
            <w:pPr>
              <w:pStyle w:val="Bezproreda"/>
              <w:spacing w:line="276" w:lineRule="auto"/>
              <w:jc w:val="center"/>
              <w:rPr>
                <w:rFonts w:ascii="Times New Roman" w:hAnsi="Times New Roman" w:cs="Times New Roman"/>
                <w:sz w:val="20"/>
                <w:szCs w:val="20"/>
              </w:rPr>
            </w:pPr>
            <w:r>
              <w:rPr>
                <w:rFonts w:ascii="Times New Roman" w:hAnsi="Times New Roman" w:cs="Times New Roman"/>
                <w:sz w:val="20"/>
                <w:szCs w:val="20"/>
              </w:rPr>
              <w:t>ROK PROVEDBE</w:t>
            </w:r>
          </w:p>
        </w:tc>
      </w:tr>
      <w:tr w:rsidR="000260A2" w14:paraId="447EE8FA" w14:textId="77777777" w:rsidTr="009C76AF">
        <w:tc>
          <w:tcPr>
            <w:tcW w:w="4151" w:type="dxa"/>
          </w:tcPr>
          <w:p w14:paraId="2E609EAA" w14:textId="77777777" w:rsidR="000260A2" w:rsidRDefault="000260A2" w:rsidP="000260A2">
            <w:pPr>
              <w:pStyle w:val="Bezproreda"/>
              <w:numPr>
                <w:ilvl w:val="0"/>
                <w:numId w:val="4"/>
              </w:numPr>
              <w:spacing w:line="276" w:lineRule="auto"/>
              <w:rPr>
                <w:rFonts w:ascii="Times New Roman" w:hAnsi="Times New Roman" w:cs="Times New Roman"/>
                <w:sz w:val="20"/>
                <w:szCs w:val="20"/>
              </w:rPr>
            </w:pPr>
            <w:r>
              <w:rPr>
                <w:rFonts w:ascii="Times New Roman" w:hAnsi="Times New Roman" w:cs="Times New Roman"/>
                <w:sz w:val="20"/>
                <w:szCs w:val="20"/>
              </w:rPr>
              <w:t>Odlukom o izvršavanju proračuna Općine Tkon za 2026. godinu planirano je pokriće manjka sukcesivno kroz trogodišnje razdoblje</w:t>
            </w:r>
          </w:p>
          <w:p w14:paraId="4BB3ABA9" w14:textId="77777777" w:rsidR="000260A2" w:rsidRDefault="000260A2" w:rsidP="00F13363">
            <w:pPr>
              <w:pStyle w:val="Bezproreda"/>
              <w:spacing w:line="276" w:lineRule="auto"/>
              <w:ind w:left="360"/>
              <w:jc w:val="center"/>
              <w:rPr>
                <w:rFonts w:ascii="Times New Roman" w:hAnsi="Times New Roman" w:cs="Times New Roman"/>
                <w:sz w:val="20"/>
                <w:szCs w:val="20"/>
              </w:rPr>
            </w:pPr>
          </w:p>
        </w:tc>
        <w:tc>
          <w:tcPr>
            <w:tcW w:w="3421" w:type="dxa"/>
          </w:tcPr>
          <w:p w14:paraId="46CD4C4F"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 xml:space="preserve">Proračun koji uključuje rezultat poslovanja pruža cjelovit financijski okvir za donošenje odluka o budućoj potrošnji i izvorima financiranja. </w:t>
            </w:r>
          </w:p>
        </w:tc>
        <w:tc>
          <w:tcPr>
            <w:tcW w:w="2210" w:type="dxa"/>
          </w:tcPr>
          <w:p w14:paraId="4CF54B57"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Odlukom je predviđeno pokriće manjka kroz trogodišnje razdoblje:</w:t>
            </w:r>
          </w:p>
          <w:p w14:paraId="79581DDF"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2026 – 158.558,80 2027 – 200.000,00  2028 – 200.000,00</w:t>
            </w:r>
          </w:p>
        </w:tc>
      </w:tr>
      <w:tr w:rsidR="000260A2" w14:paraId="64E8B5A6" w14:textId="77777777" w:rsidTr="009C76AF">
        <w:tc>
          <w:tcPr>
            <w:tcW w:w="4151" w:type="dxa"/>
          </w:tcPr>
          <w:p w14:paraId="53BC8720" w14:textId="77777777" w:rsidR="000260A2" w:rsidRDefault="000260A2" w:rsidP="000260A2">
            <w:pPr>
              <w:pStyle w:val="Bezproreda"/>
              <w:numPr>
                <w:ilvl w:val="0"/>
                <w:numId w:val="4"/>
              </w:numPr>
              <w:spacing w:line="276" w:lineRule="auto"/>
              <w:rPr>
                <w:rFonts w:ascii="Times New Roman" w:hAnsi="Times New Roman" w:cs="Times New Roman"/>
                <w:sz w:val="20"/>
                <w:szCs w:val="20"/>
              </w:rPr>
            </w:pPr>
            <w:r>
              <w:rPr>
                <w:rFonts w:ascii="Times New Roman" w:hAnsi="Times New Roman" w:cs="Times New Roman"/>
                <w:sz w:val="20"/>
                <w:szCs w:val="20"/>
              </w:rPr>
              <w:t>Kod planiranja i izvršavanja proračuna prioritet imaju zakonske i ugovorne obveze</w:t>
            </w:r>
          </w:p>
          <w:p w14:paraId="0298BB55" w14:textId="77777777" w:rsidR="000260A2" w:rsidRDefault="000260A2" w:rsidP="00F13363">
            <w:pPr>
              <w:pStyle w:val="Bezproreda"/>
              <w:spacing w:line="276" w:lineRule="auto"/>
              <w:jc w:val="center"/>
              <w:rPr>
                <w:rFonts w:ascii="Times New Roman" w:hAnsi="Times New Roman" w:cs="Times New Roman"/>
                <w:sz w:val="20"/>
                <w:szCs w:val="20"/>
              </w:rPr>
            </w:pPr>
          </w:p>
        </w:tc>
        <w:tc>
          <w:tcPr>
            <w:tcW w:w="3421" w:type="dxa"/>
          </w:tcPr>
          <w:p w14:paraId="38576427"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Mjera podrazumijeva prioritetno podmirivanje već preuzetih obveza, odnosno zakonskih obveza (financiranje redovne djelatnosti proračunskog korisnika i jedinstvenog upravno odjela)</w:t>
            </w:r>
          </w:p>
        </w:tc>
        <w:tc>
          <w:tcPr>
            <w:tcW w:w="2210" w:type="dxa"/>
          </w:tcPr>
          <w:p w14:paraId="0BA9EF76" w14:textId="77777777" w:rsidR="000260A2" w:rsidRDefault="000260A2" w:rsidP="00F13363">
            <w:pPr>
              <w:pStyle w:val="Bezproreda"/>
              <w:spacing w:line="276" w:lineRule="auto"/>
              <w:jc w:val="center"/>
              <w:rPr>
                <w:rFonts w:ascii="Times New Roman" w:hAnsi="Times New Roman" w:cs="Times New Roman"/>
                <w:sz w:val="20"/>
                <w:szCs w:val="20"/>
              </w:rPr>
            </w:pPr>
          </w:p>
          <w:p w14:paraId="11542A55"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Kontinuirano</w:t>
            </w:r>
          </w:p>
        </w:tc>
      </w:tr>
      <w:tr w:rsidR="000260A2" w14:paraId="72316735" w14:textId="77777777" w:rsidTr="009C76AF">
        <w:tc>
          <w:tcPr>
            <w:tcW w:w="4151" w:type="dxa"/>
          </w:tcPr>
          <w:p w14:paraId="4E8D990A" w14:textId="77777777" w:rsidR="000260A2" w:rsidRDefault="000260A2" w:rsidP="000260A2">
            <w:pPr>
              <w:pStyle w:val="Bezproreda"/>
              <w:numPr>
                <w:ilvl w:val="0"/>
                <w:numId w:val="4"/>
              </w:numPr>
              <w:spacing w:line="276" w:lineRule="auto"/>
              <w:rPr>
                <w:rFonts w:ascii="Times New Roman" w:hAnsi="Times New Roman" w:cs="Times New Roman"/>
                <w:sz w:val="20"/>
                <w:szCs w:val="20"/>
              </w:rPr>
            </w:pPr>
            <w:r>
              <w:rPr>
                <w:rFonts w:ascii="Times New Roman" w:hAnsi="Times New Roman" w:cs="Times New Roman"/>
                <w:sz w:val="20"/>
                <w:szCs w:val="20"/>
              </w:rPr>
              <w:t>Praćenje naplate prihoda i preuzimanje obveza u skladu s njihovim ostvarenjem</w:t>
            </w:r>
          </w:p>
          <w:p w14:paraId="2934F884" w14:textId="77777777" w:rsidR="000260A2" w:rsidRDefault="000260A2" w:rsidP="00F13363">
            <w:pPr>
              <w:pStyle w:val="Bezproreda"/>
              <w:spacing w:line="276" w:lineRule="auto"/>
              <w:jc w:val="center"/>
              <w:rPr>
                <w:rFonts w:ascii="Times New Roman" w:hAnsi="Times New Roman" w:cs="Times New Roman"/>
                <w:sz w:val="20"/>
                <w:szCs w:val="20"/>
              </w:rPr>
            </w:pPr>
          </w:p>
        </w:tc>
        <w:tc>
          <w:tcPr>
            <w:tcW w:w="3421" w:type="dxa"/>
          </w:tcPr>
          <w:p w14:paraId="702E984C"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 xml:space="preserve">Mjera uključuje preuzimanje obveza u skladu s dinamikom ostvarenja izvora financiranja kako je definirano u Planu proračuna. </w:t>
            </w:r>
          </w:p>
        </w:tc>
        <w:tc>
          <w:tcPr>
            <w:tcW w:w="2210" w:type="dxa"/>
          </w:tcPr>
          <w:p w14:paraId="46958C3A"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Kontinuirano</w:t>
            </w:r>
          </w:p>
        </w:tc>
      </w:tr>
      <w:tr w:rsidR="000260A2" w14:paraId="0E816CC9" w14:textId="77777777" w:rsidTr="009C76AF">
        <w:trPr>
          <w:trHeight w:val="686"/>
        </w:trPr>
        <w:tc>
          <w:tcPr>
            <w:tcW w:w="4151" w:type="dxa"/>
          </w:tcPr>
          <w:p w14:paraId="6C5149CC" w14:textId="77777777" w:rsidR="000260A2" w:rsidRDefault="000260A2" w:rsidP="000260A2">
            <w:pPr>
              <w:pStyle w:val="Bezproreda"/>
              <w:numPr>
                <w:ilvl w:val="0"/>
                <w:numId w:val="4"/>
              </w:numPr>
              <w:spacing w:line="276" w:lineRule="auto"/>
              <w:rPr>
                <w:rFonts w:ascii="Times New Roman" w:hAnsi="Times New Roman" w:cs="Times New Roman"/>
                <w:sz w:val="20"/>
                <w:szCs w:val="20"/>
              </w:rPr>
            </w:pPr>
            <w:r>
              <w:rPr>
                <w:rFonts w:ascii="Times New Roman" w:hAnsi="Times New Roman" w:cs="Times New Roman"/>
                <w:sz w:val="20"/>
                <w:szCs w:val="20"/>
              </w:rPr>
              <w:t>Pravovremeno poduzimanje mjera naplate potraživanja</w:t>
            </w:r>
          </w:p>
          <w:p w14:paraId="05890688" w14:textId="77777777" w:rsidR="000260A2" w:rsidRDefault="000260A2" w:rsidP="00F13363">
            <w:pPr>
              <w:pStyle w:val="Bezproreda"/>
              <w:spacing w:line="276" w:lineRule="auto"/>
              <w:jc w:val="center"/>
              <w:rPr>
                <w:rFonts w:ascii="Times New Roman" w:hAnsi="Times New Roman" w:cs="Times New Roman"/>
                <w:sz w:val="20"/>
                <w:szCs w:val="20"/>
              </w:rPr>
            </w:pPr>
          </w:p>
        </w:tc>
        <w:tc>
          <w:tcPr>
            <w:tcW w:w="3421" w:type="dxa"/>
          </w:tcPr>
          <w:p w14:paraId="74CC46C6"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Postupanje prema Proceduri za naplatu općinskih prihoda</w:t>
            </w:r>
          </w:p>
        </w:tc>
        <w:tc>
          <w:tcPr>
            <w:tcW w:w="2210" w:type="dxa"/>
          </w:tcPr>
          <w:p w14:paraId="5BC4230C"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Kontinuirano</w:t>
            </w:r>
          </w:p>
        </w:tc>
      </w:tr>
      <w:tr w:rsidR="000260A2" w14:paraId="6A510DC2" w14:textId="77777777" w:rsidTr="009C76AF">
        <w:tc>
          <w:tcPr>
            <w:tcW w:w="4151" w:type="dxa"/>
          </w:tcPr>
          <w:p w14:paraId="1637244D" w14:textId="77777777" w:rsidR="000260A2" w:rsidRDefault="000260A2" w:rsidP="000260A2">
            <w:pPr>
              <w:pStyle w:val="Bezproreda"/>
              <w:numPr>
                <w:ilvl w:val="0"/>
                <w:numId w:val="4"/>
              </w:numPr>
              <w:spacing w:line="276" w:lineRule="auto"/>
              <w:rPr>
                <w:rFonts w:ascii="Times New Roman" w:hAnsi="Times New Roman" w:cs="Times New Roman"/>
                <w:sz w:val="20"/>
                <w:szCs w:val="20"/>
              </w:rPr>
            </w:pPr>
            <w:r>
              <w:rPr>
                <w:rFonts w:ascii="Times New Roman" w:hAnsi="Times New Roman" w:cs="Times New Roman"/>
                <w:sz w:val="20"/>
                <w:szCs w:val="20"/>
              </w:rPr>
              <w:t>Povećanje financiranja proračunskih projekata i aktivnosti iz tekućih i kapitalnih pomoći prijavom projekata na natječaje europskih i drugih fondova</w:t>
            </w:r>
          </w:p>
          <w:p w14:paraId="5C786A2C" w14:textId="77777777" w:rsidR="000260A2" w:rsidRDefault="000260A2" w:rsidP="00F13363">
            <w:pPr>
              <w:pStyle w:val="Bezproreda"/>
              <w:spacing w:line="276" w:lineRule="auto"/>
              <w:jc w:val="center"/>
              <w:rPr>
                <w:rFonts w:ascii="Times New Roman" w:hAnsi="Times New Roman" w:cs="Times New Roman"/>
                <w:sz w:val="20"/>
                <w:szCs w:val="20"/>
              </w:rPr>
            </w:pPr>
          </w:p>
        </w:tc>
        <w:tc>
          <w:tcPr>
            <w:tcW w:w="3421" w:type="dxa"/>
          </w:tcPr>
          <w:p w14:paraId="128E0FC6"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 xml:space="preserve">Mjera uključuje oslobađanje sredstava iz izvora Opći prihodi i primici (porezni prihodi) i financiranje što više aktivnosti i projekata iz drugih izvora (nacionalni i međunarodni natječaji) </w:t>
            </w:r>
          </w:p>
        </w:tc>
        <w:tc>
          <w:tcPr>
            <w:tcW w:w="2210" w:type="dxa"/>
          </w:tcPr>
          <w:p w14:paraId="6EFFE715"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Kontinuirano</w:t>
            </w:r>
          </w:p>
        </w:tc>
      </w:tr>
      <w:tr w:rsidR="000260A2" w14:paraId="4D6BEDC5" w14:textId="77777777" w:rsidTr="009C76AF">
        <w:trPr>
          <w:trHeight w:val="1268"/>
        </w:trPr>
        <w:tc>
          <w:tcPr>
            <w:tcW w:w="4151" w:type="dxa"/>
          </w:tcPr>
          <w:p w14:paraId="4289B281" w14:textId="77777777" w:rsidR="000260A2" w:rsidRDefault="000260A2" w:rsidP="000260A2">
            <w:pPr>
              <w:pStyle w:val="Bezproreda"/>
              <w:numPr>
                <w:ilvl w:val="0"/>
                <w:numId w:val="4"/>
              </w:numPr>
              <w:spacing w:line="276" w:lineRule="auto"/>
              <w:rPr>
                <w:rFonts w:ascii="Times New Roman" w:hAnsi="Times New Roman" w:cs="Times New Roman"/>
                <w:sz w:val="20"/>
                <w:szCs w:val="20"/>
              </w:rPr>
            </w:pPr>
            <w:r>
              <w:rPr>
                <w:rFonts w:ascii="Times New Roman" w:hAnsi="Times New Roman" w:cs="Times New Roman"/>
                <w:sz w:val="20"/>
                <w:szCs w:val="20"/>
              </w:rPr>
              <w:t>Upravljanje nekretninama  u vlasništvu općine</w:t>
            </w:r>
          </w:p>
          <w:p w14:paraId="3791CF56" w14:textId="77777777" w:rsidR="000260A2" w:rsidRDefault="000260A2" w:rsidP="00F13363">
            <w:pPr>
              <w:pStyle w:val="Bezproreda"/>
              <w:spacing w:line="276" w:lineRule="auto"/>
              <w:jc w:val="center"/>
              <w:rPr>
                <w:rFonts w:ascii="Times New Roman" w:hAnsi="Times New Roman" w:cs="Times New Roman"/>
                <w:sz w:val="20"/>
                <w:szCs w:val="20"/>
              </w:rPr>
            </w:pPr>
          </w:p>
        </w:tc>
        <w:tc>
          <w:tcPr>
            <w:tcW w:w="3421" w:type="dxa"/>
          </w:tcPr>
          <w:p w14:paraId="6FCBF33A"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Učinkovito raspolaganje nekretninama (zakup, najam, prodaja)</w:t>
            </w:r>
          </w:p>
        </w:tc>
        <w:tc>
          <w:tcPr>
            <w:tcW w:w="2210" w:type="dxa"/>
          </w:tcPr>
          <w:p w14:paraId="7E3EE1DE"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Tijekom 2026. godine i narednih godina</w:t>
            </w:r>
          </w:p>
        </w:tc>
      </w:tr>
      <w:tr w:rsidR="000260A2" w14:paraId="756B60FC" w14:textId="77777777" w:rsidTr="009C76AF">
        <w:tc>
          <w:tcPr>
            <w:tcW w:w="4151" w:type="dxa"/>
          </w:tcPr>
          <w:p w14:paraId="408D7C9A" w14:textId="77777777" w:rsidR="000260A2" w:rsidRDefault="000260A2" w:rsidP="000260A2">
            <w:pPr>
              <w:pStyle w:val="Bezproreda"/>
              <w:numPr>
                <w:ilvl w:val="0"/>
                <w:numId w:val="4"/>
              </w:numPr>
              <w:spacing w:line="276" w:lineRule="auto"/>
              <w:rPr>
                <w:rFonts w:ascii="Times New Roman" w:hAnsi="Times New Roman" w:cs="Times New Roman"/>
                <w:sz w:val="20"/>
                <w:szCs w:val="20"/>
              </w:rPr>
            </w:pPr>
            <w:r>
              <w:rPr>
                <w:rFonts w:ascii="Times New Roman" w:hAnsi="Times New Roman" w:cs="Times New Roman"/>
                <w:sz w:val="20"/>
                <w:szCs w:val="20"/>
              </w:rPr>
              <w:t>Smanjenje materijalnih rashoda uz zadržavanje kvalitete rada i pružanja usluga građanima</w:t>
            </w:r>
          </w:p>
        </w:tc>
        <w:tc>
          <w:tcPr>
            <w:tcW w:w="3421" w:type="dxa"/>
          </w:tcPr>
          <w:p w14:paraId="0EF1F837"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Maksimalna racionalizacija materijalnih rashoda</w:t>
            </w:r>
          </w:p>
        </w:tc>
        <w:tc>
          <w:tcPr>
            <w:tcW w:w="2210" w:type="dxa"/>
          </w:tcPr>
          <w:p w14:paraId="73CC0868" w14:textId="77777777" w:rsidR="000260A2" w:rsidRDefault="000260A2" w:rsidP="00F13363">
            <w:pPr>
              <w:pStyle w:val="Bezproreda"/>
              <w:spacing w:line="276" w:lineRule="auto"/>
              <w:rPr>
                <w:rFonts w:ascii="Times New Roman" w:hAnsi="Times New Roman" w:cs="Times New Roman"/>
                <w:sz w:val="20"/>
                <w:szCs w:val="20"/>
              </w:rPr>
            </w:pPr>
            <w:r>
              <w:rPr>
                <w:rFonts w:ascii="Times New Roman" w:hAnsi="Times New Roman" w:cs="Times New Roman"/>
                <w:sz w:val="20"/>
                <w:szCs w:val="20"/>
              </w:rPr>
              <w:t>Kontinuirano</w:t>
            </w:r>
          </w:p>
        </w:tc>
      </w:tr>
    </w:tbl>
    <w:p w14:paraId="33749045" w14:textId="77777777" w:rsidR="000260A2" w:rsidRDefault="000260A2" w:rsidP="000260A2">
      <w:pPr>
        <w:pStyle w:val="Bezproreda"/>
        <w:spacing w:line="276" w:lineRule="auto"/>
        <w:ind w:left="4248"/>
        <w:jc w:val="center"/>
        <w:rPr>
          <w:rFonts w:ascii="Times New Roman" w:hAnsi="Times New Roman" w:cs="Times New Roman"/>
          <w:sz w:val="20"/>
          <w:szCs w:val="20"/>
        </w:rPr>
      </w:pPr>
    </w:p>
    <w:p w14:paraId="19CF7020" w14:textId="77777777" w:rsidR="000260A2" w:rsidRDefault="000260A2" w:rsidP="000260A2">
      <w:pPr>
        <w:pStyle w:val="Bezproreda"/>
        <w:spacing w:line="276" w:lineRule="auto"/>
        <w:ind w:firstLine="708"/>
        <w:jc w:val="both"/>
        <w:rPr>
          <w:rFonts w:ascii="Times New Roman" w:hAnsi="Times New Roman" w:cs="Times New Roman"/>
        </w:rPr>
      </w:pPr>
      <w:r>
        <w:rPr>
          <w:rFonts w:ascii="Times New Roman" w:hAnsi="Times New Roman" w:cs="Times New Roman"/>
        </w:rPr>
        <w:t xml:space="preserve">Odgovorna osoba za provedbu akcijskog plana je načelnik. Planirani financijski učinak predloženih mjera je suficit od 558.558,80 </w:t>
      </w:r>
      <w:proofErr w:type="spellStart"/>
      <w:r>
        <w:rPr>
          <w:rFonts w:ascii="Times New Roman" w:hAnsi="Times New Roman" w:cs="Times New Roman"/>
        </w:rPr>
        <w:t>eur</w:t>
      </w:r>
      <w:proofErr w:type="spellEnd"/>
      <w:r>
        <w:rPr>
          <w:rFonts w:ascii="Times New Roman" w:hAnsi="Times New Roman" w:cs="Times New Roman"/>
        </w:rPr>
        <w:t xml:space="preserve">, odnosno pokriće planiranog manjka prihoda i primitaka u 2026. godini u iznosu od 158.558,80 </w:t>
      </w:r>
      <w:proofErr w:type="spellStart"/>
      <w:r>
        <w:rPr>
          <w:rFonts w:ascii="Times New Roman" w:hAnsi="Times New Roman" w:cs="Times New Roman"/>
        </w:rPr>
        <w:t>eur</w:t>
      </w:r>
      <w:proofErr w:type="spellEnd"/>
      <w:r>
        <w:rPr>
          <w:rFonts w:ascii="Times New Roman" w:hAnsi="Times New Roman" w:cs="Times New Roman"/>
        </w:rPr>
        <w:t xml:space="preserve">,  u 2027. godini u iznosu od 200.000,00 te u 2028. godini u iznosu od 200.000,00 </w:t>
      </w:r>
      <w:proofErr w:type="spellStart"/>
      <w:r>
        <w:rPr>
          <w:rFonts w:ascii="Times New Roman" w:hAnsi="Times New Roman" w:cs="Times New Roman"/>
        </w:rPr>
        <w:t>eur</w:t>
      </w:r>
      <w:proofErr w:type="spellEnd"/>
      <w:r>
        <w:rPr>
          <w:rFonts w:ascii="Times New Roman" w:hAnsi="Times New Roman" w:cs="Times New Roman"/>
        </w:rPr>
        <w:t>.</w:t>
      </w:r>
    </w:p>
    <w:p w14:paraId="460D32EC" w14:textId="77777777" w:rsidR="000260A2" w:rsidRDefault="000260A2" w:rsidP="000260A2">
      <w:pPr>
        <w:pStyle w:val="Bezproreda"/>
        <w:spacing w:line="276" w:lineRule="auto"/>
        <w:ind w:firstLine="708"/>
        <w:jc w:val="both"/>
        <w:rPr>
          <w:rFonts w:ascii="Times New Roman" w:hAnsi="Times New Roman" w:cs="Times New Roman"/>
        </w:rPr>
      </w:pPr>
      <w:r>
        <w:rPr>
          <w:rFonts w:ascii="Times New Roman" w:hAnsi="Times New Roman" w:cs="Times New Roman"/>
        </w:rPr>
        <w:t xml:space="preserve">Ukupni manjak prihoda i primitaka s proračunskim korisnikom iznosi 167.656,35 </w:t>
      </w:r>
      <w:proofErr w:type="spellStart"/>
      <w:r>
        <w:rPr>
          <w:rFonts w:ascii="Times New Roman" w:hAnsi="Times New Roman" w:cs="Times New Roman"/>
        </w:rPr>
        <w:t>eur</w:t>
      </w:r>
      <w:proofErr w:type="spellEnd"/>
      <w:r>
        <w:rPr>
          <w:rFonts w:ascii="Times New Roman" w:hAnsi="Times New Roman" w:cs="Times New Roman"/>
        </w:rPr>
        <w:t xml:space="preserve"> od čega 158.558,80 </w:t>
      </w:r>
      <w:proofErr w:type="spellStart"/>
      <w:r>
        <w:rPr>
          <w:rFonts w:ascii="Times New Roman" w:hAnsi="Times New Roman" w:cs="Times New Roman"/>
        </w:rPr>
        <w:t>eur</w:t>
      </w:r>
      <w:proofErr w:type="spellEnd"/>
      <w:r>
        <w:rPr>
          <w:rFonts w:ascii="Times New Roman" w:hAnsi="Times New Roman" w:cs="Times New Roman"/>
        </w:rPr>
        <w:t xml:space="preserve">  Općine Tkon, metodološki manjak u iznosu od 9.113,39 </w:t>
      </w:r>
      <w:proofErr w:type="spellStart"/>
      <w:r>
        <w:rPr>
          <w:rFonts w:ascii="Times New Roman" w:hAnsi="Times New Roman" w:cs="Times New Roman"/>
        </w:rPr>
        <w:t>eur</w:t>
      </w:r>
      <w:proofErr w:type="spellEnd"/>
      <w:r>
        <w:rPr>
          <w:rFonts w:ascii="Times New Roman" w:hAnsi="Times New Roman" w:cs="Times New Roman"/>
        </w:rPr>
        <w:t xml:space="preserve"> , te višak prihoda proračunskog korisnika u iznosu od 15,84 </w:t>
      </w:r>
      <w:proofErr w:type="spellStart"/>
      <w:r>
        <w:rPr>
          <w:rFonts w:ascii="Times New Roman" w:hAnsi="Times New Roman" w:cs="Times New Roman"/>
        </w:rPr>
        <w:t>eur</w:t>
      </w:r>
      <w:proofErr w:type="spellEnd"/>
      <w:r>
        <w:rPr>
          <w:rFonts w:ascii="Times New Roman" w:hAnsi="Times New Roman" w:cs="Times New Roman"/>
        </w:rPr>
        <w:t>.</w:t>
      </w:r>
    </w:p>
    <w:p w14:paraId="03676387" w14:textId="77777777" w:rsidR="000260A2" w:rsidRDefault="000260A2" w:rsidP="000260A2">
      <w:pPr>
        <w:pStyle w:val="Bezproreda"/>
        <w:spacing w:line="276" w:lineRule="auto"/>
        <w:jc w:val="center"/>
        <w:rPr>
          <w:rFonts w:ascii="Times New Roman" w:hAnsi="Times New Roman" w:cs="Times New Roman"/>
          <w:b/>
        </w:rPr>
      </w:pPr>
    </w:p>
    <w:p w14:paraId="33DD7173" w14:textId="77777777" w:rsidR="000260A2" w:rsidRDefault="000260A2" w:rsidP="000260A2">
      <w:pPr>
        <w:pStyle w:val="Bezproreda"/>
        <w:numPr>
          <w:ilvl w:val="0"/>
          <w:numId w:val="2"/>
        </w:numPr>
        <w:spacing w:line="276" w:lineRule="auto"/>
        <w:rPr>
          <w:rFonts w:ascii="Times New Roman" w:hAnsi="Times New Roman" w:cs="Times New Roman"/>
        </w:rPr>
      </w:pPr>
      <w:r>
        <w:rPr>
          <w:rFonts w:ascii="Times New Roman" w:hAnsi="Times New Roman" w:cs="Times New Roman"/>
        </w:rPr>
        <w:t>Ova Analiza stupa na snagu osmog dana od dana objave, a objaviti će se u Službenom glasniku Općine Tkon.</w:t>
      </w:r>
    </w:p>
    <w:p w14:paraId="7C9F1B89" w14:textId="77777777" w:rsidR="000260A2" w:rsidRDefault="000260A2" w:rsidP="000260A2">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KLASA: 400-01/26-03/2</w:t>
      </w:r>
    </w:p>
    <w:p w14:paraId="7EF0607C" w14:textId="77777777" w:rsidR="000260A2" w:rsidRDefault="000260A2" w:rsidP="000260A2">
      <w:pPr>
        <w:spacing w:after="0"/>
        <w:rPr>
          <w:rFonts w:ascii="Times New Roman" w:hAnsi="Times New Roman" w:cs="Times New Roman"/>
          <w:sz w:val="24"/>
          <w:szCs w:val="24"/>
        </w:rPr>
      </w:pPr>
      <w:r>
        <w:rPr>
          <w:rFonts w:ascii="Times New Roman" w:hAnsi="Times New Roman" w:cs="Times New Roman"/>
          <w:sz w:val="24"/>
          <w:szCs w:val="24"/>
        </w:rPr>
        <w:t>URBROJ: 2198-32-26-2</w:t>
      </w:r>
    </w:p>
    <w:p w14:paraId="66B26FDA" w14:textId="465B5884" w:rsidR="000260A2" w:rsidRDefault="000260A2" w:rsidP="000260A2">
      <w:pPr>
        <w:spacing w:after="0"/>
        <w:rPr>
          <w:rFonts w:ascii="Times New Roman" w:hAnsi="Times New Roman" w:cs="Times New Roman"/>
          <w:sz w:val="24"/>
          <w:szCs w:val="24"/>
        </w:rPr>
      </w:pPr>
      <w:r>
        <w:rPr>
          <w:rFonts w:ascii="Times New Roman" w:hAnsi="Times New Roman" w:cs="Times New Roman"/>
          <w:sz w:val="24"/>
          <w:szCs w:val="24"/>
        </w:rPr>
        <w:t xml:space="preserve">Tkon, </w:t>
      </w:r>
      <w:r w:rsidR="009C76AF">
        <w:rPr>
          <w:rFonts w:ascii="Times New Roman" w:hAnsi="Times New Roman" w:cs="Times New Roman"/>
          <w:sz w:val="24"/>
          <w:szCs w:val="24"/>
        </w:rPr>
        <w:t>19. lipnja 2026.</w:t>
      </w:r>
      <w:r>
        <w:rPr>
          <w:rFonts w:ascii="Times New Roman" w:hAnsi="Times New Roman" w:cs="Times New Roman"/>
          <w:sz w:val="24"/>
          <w:szCs w:val="24"/>
        </w:rPr>
        <w:t xml:space="preserve"> godine</w:t>
      </w:r>
    </w:p>
    <w:p w14:paraId="6679F34E" w14:textId="77777777" w:rsidR="000260A2" w:rsidRDefault="000260A2" w:rsidP="000260A2">
      <w:pPr>
        <w:pStyle w:val="Bezproreda"/>
        <w:spacing w:line="276" w:lineRule="auto"/>
        <w:jc w:val="center"/>
        <w:rPr>
          <w:rFonts w:ascii="Times New Roman" w:hAnsi="Times New Roman" w:cs="Times New Roman"/>
        </w:rPr>
      </w:pPr>
      <w:r>
        <w:rPr>
          <w:rFonts w:ascii="Times New Roman" w:hAnsi="Times New Roman" w:cs="Times New Roman"/>
        </w:rPr>
        <w:t>Općinsko Vijeće Općine Tkon</w:t>
      </w:r>
    </w:p>
    <w:p w14:paraId="6F77F3DD" w14:textId="77777777" w:rsidR="000260A2" w:rsidRDefault="000260A2" w:rsidP="000260A2">
      <w:pPr>
        <w:pStyle w:val="Bezproreda"/>
        <w:spacing w:line="276" w:lineRule="auto"/>
        <w:ind w:left="5664" w:firstLine="708"/>
        <w:jc w:val="right"/>
        <w:rPr>
          <w:rFonts w:ascii="Times New Roman" w:hAnsi="Times New Roman" w:cs="Times New Roman"/>
        </w:rPr>
      </w:pPr>
      <w:r>
        <w:rPr>
          <w:rFonts w:ascii="Times New Roman" w:hAnsi="Times New Roman" w:cs="Times New Roman"/>
        </w:rPr>
        <w:t xml:space="preserve">Predsjednik: </w:t>
      </w:r>
    </w:p>
    <w:p w14:paraId="67D36124" w14:textId="77777777" w:rsidR="000260A2" w:rsidRDefault="000260A2" w:rsidP="000260A2">
      <w:pPr>
        <w:pStyle w:val="Bezproreda"/>
        <w:spacing w:line="276" w:lineRule="auto"/>
        <w:ind w:left="5664" w:firstLine="708"/>
        <w:jc w:val="right"/>
        <w:rPr>
          <w:rFonts w:ascii="Times New Roman" w:hAnsi="Times New Roman" w:cs="Times New Roman"/>
        </w:rPr>
      </w:pPr>
      <w:r>
        <w:rPr>
          <w:rFonts w:ascii="Times New Roman" w:hAnsi="Times New Roman" w:cs="Times New Roman"/>
        </w:rPr>
        <w:t>Andrea Ugrinić Gotovina</w:t>
      </w:r>
    </w:p>
    <w:p w14:paraId="6E387D48" w14:textId="77777777" w:rsidR="00E839ED" w:rsidRPr="00E839ED" w:rsidRDefault="00E839ED">
      <w:pPr>
        <w:pStyle w:val="Bezproreda"/>
        <w:spacing w:line="276" w:lineRule="auto"/>
        <w:ind w:left="5664" w:firstLine="708"/>
        <w:jc w:val="right"/>
        <w:rPr>
          <w:rFonts w:ascii="Times New Roman" w:hAnsi="Times New Roman" w:cs="Times New Roman"/>
          <w:sz w:val="20"/>
          <w:szCs w:val="20"/>
        </w:rPr>
      </w:pPr>
    </w:p>
    <w:sectPr w:rsidR="00E839ED" w:rsidRPr="00E839ED" w:rsidSect="002B6D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7B4F6" w14:textId="77777777" w:rsidR="005B14AB" w:rsidRDefault="005B14AB" w:rsidP="00D458D9">
      <w:pPr>
        <w:spacing w:after="0" w:line="240" w:lineRule="auto"/>
      </w:pPr>
      <w:r>
        <w:separator/>
      </w:r>
    </w:p>
  </w:endnote>
  <w:endnote w:type="continuationSeparator" w:id="0">
    <w:p w14:paraId="48A51043" w14:textId="77777777" w:rsidR="005B14AB" w:rsidRDefault="005B14AB" w:rsidP="00D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4593A" w14:textId="77777777" w:rsidR="005B14AB" w:rsidRDefault="005B14AB" w:rsidP="00D458D9">
      <w:pPr>
        <w:spacing w:after="0" w:line="240" w:lineRule="auto"/>
      </w:pPr>
      <w:r>
        <w:separator/>
      </w:r>
    </w:p>
  </w:footnote>
  <w:footnote w:type="continuationSeparator" w:id="0">
    <w:p w14:paraId="2604885F" w14:textId="77777777" w:rsidR="005B14AB" w:rsidRDefault="005B14AB" w:rsidP="00D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84E0C"/>
    <w:multiLevelType w:val="hybridMultilevel"/>
    <w:tmpl w:val="9C70F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511F79"/>
    <w:multiLevelType w:val="hybridMultilevel"/>
    <w:tmpl w:val="5C20CB4E"/>
    <w:lvl w:ilvl="0" w:tplc="041A000F">
      <w:start w:val="1"/>
      <w:numFmt w:val="decimal"/>
      <w:lvlText w:val="%1."/>
      <w:lvlJc w:val="left"/>
      <w:pPr>
        <w:ind w:left="750" w:hanging="360"/>
      </w:p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2" w15:restartNumberingAfterBreak="0">
    <w:nsid w:val="1DC70C37"/>
    <w:multiLevelType w:val="hybridMultilevel"/>
    <w:tmpl w:val="B0D8E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F83236"/>
    <w:multiLevelType w:val="hybridMultilevel"/>
    <w:tmpl w:val="DAC43A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124827"/>
    <w:multiLevelType w:val="hybridMultilevel"/>
    <w:tmpl w:val="CAC2F72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1E93CC1"/>
    <w:multiLevelType w:val="hybridMultilevel"/>
    <w:tmpl w:val="811A4032"/>
    <w:lvl w:ilvl="0" w:tplc="0A00E34A">
      <w:start w:val="1"/>
      <w:numFmt w:val="decimal"/>
      <w:lvlText w:val="%1."/>
      <w:lvlJc w:val="left"/>
      <w:pPr>
        <w:ind w:left="1428" w:hanging="360"/>
      </w:pPr>
      <w:rPr>
        <w:rFonts w:ascii="Calibri" w:eastAsiaTheme="minorHAnsi" w:hAnsi="Calibri" w:cs="Calibri"/>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582B4513"/>
    <w:multiLevelType w:val="hybridMultilevel"/>
    <w:tmpl w:val="E3D2B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81"/>
    <w:rsid w:val="00017B10"/>
    <w:rsid w:val="0002149A"/>
    <w:rsid w:val="00024A23"/>
    <w:rsid w:val="000260A2"/>
    <w:rsid w:val="000269B1"/>
    <w:rsid w:val="00065626"/>
    <w:rsid w:val="000728D3"/>
    <w:rsid w:val="000836C0"/>
    <w:rsid w:val="00095F75"/>
    <w:rsid w:val="000B527E"/>
    <w:rsid w:val="000B734F"/>
    <w:rsid w:val="000C7DFB"/>
    <w:rsid w:val="000F4561"/>
    <w:rsid w:val="001442CF"/>
    <w:rsid w:val="001445E6"/>
    <w:rsid w:val="00162BF5"/>
    <w:rsid w:val="00173081"/>
    <w:rsid w:val="00174A97"/>
    <w:rsid w:val="0017613D"/>
    <w:rsid w:val="001842BF"/>
    <w:rsid w:val="001A0207"/>
    <w:rsid w:val="001B7FFB"/>
    <w:rsid w:val="001C56C9"/>
    <w:rsid w:val="001C71E5"/>
    <w:rsid w:val="00200254"/>
    <w:rsid w:val="00200957"/>
    <w:rsid w:val="002146A1"/>
    <w:rsid w:val="00233F68"/>
    <w:rsid w:val="00243E8F"/>
    <w:rsid w:val="00244B3E"/>
    <w:rsid w:val="002B251A"/>
    <w:rsid w:val="002B6DD8"/>
    <w:rsid w:val="002B72C3"/>
    <w:rsid w:val="002E1AFB"/>
    <w:rsid w:val="00316BD7"/>
    <w:rsid w:val="003244B0"/>
    <w:rsid w:val="0033128E"/>
    <w:rsid w:val="00332869"/>
    <w:rsid w:val="003401CF"/>
    <w:rsid w:val="003919CB"/>
    <w:rsid w:val="003924A1"/>
    <w:rsid w:val="003A0B08"/>
    <w:rsid w:val="003A2B4F"/>
    <w:rsid w:val="003A40C1"/>
    <w:rsid w:val="003B0D59"/>
    <w:rsid w:val="003C4702"/>
    <w:rsid w:val="003C60EE"/>
    <w:rsid w:val="003D6DEB"/>
    <w:rsid w:val="003E2465"/>
    <w:rsid w:val="003E769A"/>
    <w:rsid w:val="003F6AA9"/>
    <w:rsid w:val="00403421"/>
    <w:rsid w:val="00444537"/>
    <w:rsid w:val="0047110C"/>
    <w:rsid w:val="004740D7"/>
    <w:rsid w:val="004853F3"/>
    <w:rsid w:val="004A004A"/>
    <w:rsid w:val="004B67E6"/>
    <w:rsid w:val="004B697C"/>
    <w:rsid w:val="004C419B"/>
    <w:rsid w:val="004D07CB"/>
    <w:rsid w:val="004E306D"/>
    <w:rsid w:val="004E7B73"/>
    <w:rsid w:val="004F6CE1"/>
    <w:rsid w:val="00514142"/>
    <w:rsid w:val="00527B57"/>
    <w:rsid w:val="00540DFD"/>
    <w:rsid w:val="005573B0"/>
    <w:rsid w:val="00581F86"/>
    <w:rsid w:val="005822D5"/>
    <w:rsid w:val="005A0C8B"/>
    <w:rsid w:val="005B1135"/>
    <w:rsid w:val="005B14AB"/>
    <w:rsid w:val="005B7E91"/>
    <w:rsid w:val="005C03CF"/>
    <w:rsid w:val="005C0D1B"/>
    <w:rsid w:val="006132F9"/>
    <w:rsid w:val="006A2A18"/>
    <w:rsid w:val="006B6F0C"/>
    <w:rsid w:val="006C1C4C"/>
    <w:rsid w:val="00707EAB"/>
    <w:rsid w:val="00717144"/>
    <w:rsid w:val="00740DFE"/>
    <w:rsid w:val="007455BC"/>
    <w:rsid w:val="00745812"/>
    <w:rsid w:val="00755550"/>
    <w:rsid w:val="007800D0"/>
    <w:rsid w:val="0078056F"/>
    <w:rsid w:val="0078095D"/>
    <w:rsid w:val="0078221F"/>
    <w:rsid w:val="00785A10"/>
    <w:rsid w:val="007933C0"/>
    <w:rsid w:val="00793CA3"/>
    <w:rsid w:val="007958B2"/>
    <w:rsid w:val="00795F67"/>
    <w:rsid w:val="007A49FB"/>
    <w:rsid w:val="007D0328"/>
    <w:rsid w:val="007E1A9E"/>
    <w:rsid w:val="008264DA"/>
    <w:rsid w:val="00831669"/>
    <w:rsid w:val="0087755B"/>
    <w:rsid w:val="008E550D"/>
    <w:rsid w:val="00904DEE"/>
    <w:rsid w:val="0092011C"/>
    <w:rsid w:val="00921E84"/>
    <w:rsid w:val="00923CB4"/>
    <w:rsid w:val="0093768B"/>
    <w:rsid w:val="00950CF5"/>
    <w:rsid w:val="0096255C"/>
    <w:rsid w:val="009669F3"/>
    <w:rsid w:val="00981F3F"/>
    <w:rsid w:val="009876A9"/>
    <w:rsid w:val="009935E6"/>
    <w:rsid w:val="009A00F6"/>
    <w:rsid w:val="009B1D47"/>
    <w:rsid w:val="009C2B0E"/>
    <w:rsid w:val="009C76AF"/>
    <w:rsid w:val="009D67CD"/>
    <w:rsid w:val="009F4917"/>
    <w:rsid w:val="00A01D9A"/>
    <w:rsid w:val="00A05650"/>
    <w:rsid w:val="00A12ADB"/>
    <w:rsid w:val="00A164B5"/>
    <w:rsid w:val="00A2122D"/>
    <w:rsid w:val="00A33573"/>
    <w:rsid w:val="00A375A2"/>
    <w:rsid w:val="00A474E2"/>
    <w:rsid w:val="00A47D46"/>
    <w:rsid w:val="00A515B2"/>
    <w:rsid w:val="00A56AB7"/>
    <w:rsid w:val="00A736AC"/>
    <w:rsid w:val="00AA2623"/>
    <w:rsid w:val="00AB139A"/>
    <w:rsid w:val="00AB37E3"/>
    <w:rsid w:val="00AC2F7A"/>
    <w:rsid w:val="00B0603F"/>
    <w:rsid w:val="00B323AA"/>
    <w:rsid w:val="00B3411F"/>
    <w:rsid w:val="00B36EDF"/>
    <w:rsid w:val="00B53D85"/>
    <w:rsid w:val="00B605B8"/>
    <w:rsid w:val="00B61499"/>
    <w:rsid w:val="00B654F0"/>
    <w:rsid w:val="00B6687D"/>
    <w:rsid w:val="00B76E92"/>
    <w:rsid w:val="00B850D6"/>
    <w:rsid w:val="00B909A9"/>
    <w:rsid w:val="00B93AA1"/>
    <w:rsid w:val="00BB51D1"/>
    <w:rsid w:val="00C0726F"/>
    <w:rsid w:val="00C0774B"/>
    <w:rsid w:val="00C14CCB"/>
    <w:rsid w:val="00C24360"/>
    <w:rsid w:val="00C616A1"/>
    <w:rsid w:val="00C67897"/>
    <w:rsid w:val="00C7699F"/>
    <w:rsid w:val="00C84069"/>
    <w:rsid w:val="00C86046"/>
    <w:rsid w:val="00CA0253"/>
    <w:rsid w:val="00CB3032"/>
    <w:rsid w:val="00CB5362"/>
    <w:rsid w:val="00CC3F66"/>
    <w:rsid w:val="00CD1E56"/>
    <w:rsid w:val="00CD75F4"/>
    <w:rsid w:val="00CF13B3"/>
    <w:rsid w:val="00D43AD7"/>
    <w:rsid w:val="00D458D9"/>
    <w:rsid w:val="00D8499D"/>
    <w:rsid w:val="00D93FFE"/>
    <w:rsid w:val="00DA44A1"/>
    <w:rsid w:val="00DD1660"/>
    <w:rsid w:val="00DD1B44"/>
    <w:rsid w:val="00DD1E68"/>
    <w:rsid w:val="00E0384A"/>
    <w:rsid w:val="00E12207"/>
    <w:rsid w:val="00E16622"/>
    <w:rsid w:val="00E32AFD"/>
    <w:rsid w:val="00E663D1"/>
    <w:rsid w:val="00E7250F"/>
    <w:rsid w:val="00E839ED"/>
    <w:rsid w:val="00E84BC1"/>
    <w:rsid w:val="00EA6889"/>
    <w:rsid w:val="00EB302C"/>
    <w:rsid w:val="00EE1997"/>
    <w:rsid w:val="00EF1621"/>
    <w:rsid w:val="00EF51D5"/>
    <w:rsid w:val="00F078B5"/>
    <w:rsid w:val="00F33546"/>
    <w:rsid w:val="00F55327"/>
    <w:rsid w:val="00F970AD"/>
    <w:rsid w:val="00FB011A"/>
    <w:rsid w:val="00FD43FC"/>
    <w:rsid w:val="00FD498E"/>
    <w:rsid w:val="00FD7924"/>
    <w:rsid w:val="00FE158F"/>
    <w:rsid w:val="00FF102F"/>
    <w:rsid w:val="00FF5E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FD6"/>
  <w15:docId w15:val="{DB70F546-7D65-40D5-BD6E-D8688534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1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73081"/>
    <w:pPr>
      <w:spacing w:after="0" w:line="240" w:lineRule="auto"/>
    </w:pPr>
  </w:style>
  <w:style w:type="table" w:styleId="Reetkatablice">
    <w:name w:val="Table Grid"/>
    <w:basedOn w:val="Obinatablica"/>
    <w:uiPriority w:val="59"/>
    <w:qFormat/>
    <w:rsid w:val="00173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balonia">
    <w:name w:val="Balloon Text"/>
    <w:basedOn w:val="Normal"/>
    <w:link w:val="TekstbaloniaChar"/>
    <w:uiPriority w:val="99"/>
    <w:semiHidden/>
    <w:unhideWhenUsed/>
    <w:rsid w:val="0017308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3081"/>
    <w:rPr>
      <w:rFonts w:ascii="Tahoma" w:hAnsi="Tahoma" w:cs="Tahoma"/>
      <w:sz w:val="16"/>
      <w:szCs w:val="16"/>
    </w:rPr>
  </w:style>
  <w:style w:type="paragraph" w:styleId="Tijeloteksta">
    <w:name w:val="Body Text"/>
    <w:basedOn w:val="Normal"/>
    <w:link w:val="TijelotekstaChar"/>
    <w:qFormat/>
    <w:rsid w:val="00F33546"/>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F33546"/>
    <w:rPr>
      <w:rFonts w:ascii="Times New Roman" w:eastAsia="Times New Roman" w:hAnsi="Times New Roman" w:cs="Times New Roman"/>
      <w:sz w:val="24"/>
      <w:szCs w:val="24"/>
    </w:rPr>
  </w:style>
  <w:style w:type="paragraph" w:styleId="Odlomakpopisa">
    <w:name w:val="List Paragraph"/>
    <w:basedOn w:val="Normal"/>
    <w:uiPriority w:val="34"/>
    <w:qFormat/>
    <w:rsid w:val="00FD498E"/>
    <w:pPr>
      <w:ind w:left="708"/>
    </w:pPr>
    <w:rPr>
      <w:rFonts w:ascii="Calibri" w:eastAsia="Calibri" w:hAnsi="Calibri" w:cs="Times New Roman"/>
      <w:lang w:eastAsia="en-US"/>
    </w:rPr>
  </w:style>
  <w:style w:type="paragraph" w:styleId="Zaglavlje">
    <w:name w:val="header"/>
    <w:basedOn w:val="Normal"/>
    <w:link w:val="ZaglavljeChar"/>
    <w:uiPriority w:val="99"/>
    <w:unhideWhenUsed/>
    <w:rsid w:val="00D458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58D9"/>
  </w:style>
  <w:style w:type="paragraph" w:styleId="Podnoje">
    <w:name w:val="footer"/>
    <w:basedOn w:val="Normal"/>
    <w:link w:val="PodnojeChar"/>
    <w:uiPriority w:val="99"/>
    <w:unhideWhenUsed/>
    <w:rsid w:val="00D458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45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072">
      <w:bodyDiv w:val="1"/>
      <w:marLeft w:val="0"/>
      <w:marRight w:val="0"/>
      <w:marTop w:val="0"/>
      <w:marBottom w:val="0"/>
      <w:divBdr>
        <w:top w:val="none" w:sz="0" w:space="0" w:color="auto"/>
        <w:left w:val="none" w:sz="0" w:space="0" w:color="auto"/>
        <w:bottom w:val="none" w:sz="0" w:space="0" w:color="auto"/>
        <w:right w:val="none" w:sz="0" w:space="0" w:color="auto"/>
      </w:divBdr>
    </w:div>
    <w:div w:id="1654261491">
      <w:bodyDiv w:val="1"/>
      <w:marLeft w:val="0"/>
      <w:marRight w:val="0"/>
      <w:marTop w:val="0"/>
      <w:marBottom w:val="0"/>
      <w:divBdr>
        <w:top w:val="none" w:sz="0" w:space="0" w:color="auto"/>
        <w:left w:val="none" w:sz="0" w:space="0" w:color="auto"/>
        <w:bottom w:val="none" w:sz="0" w:space="0" w:color="auto"/>
        <w:right w:val="none" w:sz="0" w:space="0" w:color="auto"/>
      </w:divBdr>
    </w:div>
    <w:div w:id="20506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5FBF3-7C77-4937-B9FF-E9CE1775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1756</Words>
  <Characters>10011</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Vesna</cp:lastModifiedBy>
  <cp:revision>4</cp:revision>
  <cp:lastPrinted>2026-06-19T09:42:00Z</cp:lastPrinted>
  <dcterms:created xsi:type="dcterms:W3CDTF">2026-06-19T09:39:00Z</dcterms:created>
  <dcterms:modified xsi:type="dcterms:W3CDTF">2026-06-19T09:42:00Z</dcterms:modified>
</cp:coreProperties>
</file>