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2D9C" w14:textId="77777777" w:rsidR="00F11A40" w:rsidRDefault="00F11A40" w:rsidP="00907F9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3953C5CC" w14:textId="77777777" w:rsidR="00066355" w:rsidRPr="00FC1F06" w:rsidRDefault="00FC1F06" w:rsidP="00BC4F5E">
      <w:pPr>
        <w:jc w:val="center"/>
        <w:rPr>
          <w:rFonts w:ascii="Arial" w:hAnsi="Arial" w:cs="Arial"/>
          <w:b/>
        </w:rPr>
      </w:pPr>
      <w:r w:rsidRPr="00FC1F06">
        <w:rPr>
          <w:rFonts w:ascii="Arial" w:hAnsi="Arial" w:cs="Arial"/>
          <w:b/>
        </w:rPr>
        <w:t>O B R A Z L O Ž E N J E</w:t>
      </w:r>
    </w:p>
    <w:p w14:paraId="5DD7EBA3" w14:textId="56CB3CFB" w:rsidR="00FC1F06" w:rsidRDefault="00C62E00" w:rsidP="00BC4F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FC1F06" w:rsidRPr="00FC1F06">
        <w:rPr>
          <w:rFonts w:ascii="Arial" w:hAnsi="Arial" w:cs="Arial"/>
          <w:b/>
        </w:rPr>
        <w:t>odišnje</w:t>
      </w:r>
      <w:r w:rsidR="00FC1F06">
        <w:rPr>
          <w:rFonts w:ascii="Arial" w:hAnsi="Arial" w:cs="Arial"/>
          <w:b/>
        </w:rPr>
        <w:t>g</w:t>
      </w:r>
      <w:r w:rsidR="00FC1F06" w:rsidRPr="00FC1F06">
        <w:rPr>
          <w:rFonts w:ascii="Arial" w:hAnsi="Arial" w:cs="Arial"/>
          <w:b/>
        </w:rPr>
        <w:t xml:space="preserve"> izvještaja o izvršenju Proračuna </w:t>
      </w:r>
      <w:r w:rsidR="00E27F27">
        <w:rPr>
          <w:rFonts w:ascii="Arial" w:hAnsi="Arial" w:cs="Arial"/>
          <w:b/>
        </w:rPr>
        <w:t xml:space="preserve">Općine Tkon </w:t>
      </w:r>
      <w:r w:rsidR="00763B5E">
        <w:rPr>
          <w:rFonts w:ascii="Arial" w:hAnsi="Arial" w:cs="Arial"/>
          <w:b/>
        </w:rPr>
        <w:t>od</w:t>
      </w:r>
      <w:r w:rsidR="00E27F27">
        <w:rPr>
          <w:rFonts w:ascii="Arial" w:hAnsi="Arial" w:cs="Arial"/>
          <w:b/>
        </w:rPr>
        <w:t xml:space="preserve"> </w:t>
      </w:r>
      <w:r w:rsidR="00763B5E">
        <w:rPr>
          <w:rFonts w:ascii="Arial" w:hAnsi="Arial" w:cs="Arial"/>
          <w:b/>
        </w:rPr>
        <w:t>01.01. do 3</w:t>
      </w:r>
      <w:r>
        <w:rPr>
          <w:rFonts w:ascii="Arial" w:hAnsi="Arial" w:cs="Arial"/>
          <w:b/>
        </w:rPr>
        <w:t>1</w:t>
      </w:r>
      <w:r w:rsidR="00763B5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="00763B5E">
        <w:rPr>
          <w:rFonts w:ascii="Arial" w:hAnsi="Arial" w:cs="Arial"/>
          <w:b/>
        </w:rPr>
        <w:t>.20</w:t>
      </w:r>
      <w:r w:rsidR="00262DEB">
        <w:rPr>
          <w:rFonts w:ascii="Arial" w:hAnsi="Arial" w:cs="Arial"/>
          <w:b/>
        </w:rPr>
        <w:t>2</w:t>
      </w:r>
      <w:r w:rsidR="00A63E8A">
        <w:rPr>
          <w:rFonts w:ascii="Arial" w:hAnsi="Arial" w:cs="Arial"/>
          <w:b/>
        </w:rPr>
        <w:t>5</w:t>
      </w:r>
      <w:r w:rsidR="00BC4F5E">
        <w:rPr>
          <w:rFonts w:ascii="Arial" w:hAnsi="Arial" w:cs="Arial"/>
          <w:b/>
        </w:rPr>
        <w:t>. g</w:t>
      </w:r>
      <w:r w:rsidR="00763B5E">
        <w:rPr>
          <w:rFonts w:ascii="Arial" w:hAnsi="Arial" w:cs="Arial"/>
          <w:b/>
        </w:rPr>
        <w:t>odine</w:t>
      </w:r>
    </w:p>
    <w:p w14:paraId="4B3CAE64" w14:textId="77777777" w:rsidR="00FB7D8B" w:rsidRDefault="00FB7D8B" w:rsidP="00BC4F5E">
      <w:pPr>
        <w:jc w:val="center"/>
        <w:rPr>
          <w:rFonts w:ascii="Arial" w:hAnsi="Arial" w:cs="Arial"/>
          <w:b/>
        </w:rPr>
      </w:pPr>
    </w:p>
    <w:p w14:paraId="3F77C5D3" w14:textId="36440DE4" w:rsidR="00FC1F06" w:rsidRDefault="00FC1F06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Pravilnikom o polugodišnjem i godišnjem izvještaju o izvršenju proračuna </w:t>
      </w:r>
      <w:r w:rsidR="0004506F">
        <w:rPr>
          <w:rFonts w:ascii="Arial" w:hAnsi="Arial" w:cs="Arial"/>
        </w:rPr>
        <w:t>i financ</w:t>
      </w:r>
      <w:r w:rsidR="00C62E00">
        <w:rPr>
          <w:rFonts w:ascii="Arial" w:hAnsi="Arial" w:cs="Arial"/>
        </w:rPr>
        <w:t>ij</w:t>
      </w:r>
      <w:r w:rsidR="0004506F">
        <w:rPr>
          <w:rFonts w:ascii="Arial" w:hAnsi="Arial" w:cs="Arial"/>
        </w:rPr>
        <w:t xml:space="preserve">skog plana </w:t>
      </w:r>
      <w:r>
        <w:rPr>
          <w:rFonts w:ascii="Arial" w:hAnsi="Arial" w:cs="Arial"/>
        </w:rPr>
        <w:t xml:space="preserve">(„Narodne novine“ broj </w:t>
      </w:r>
      <w:r w:rsidR="00DE5F63">
        <w:rPr>
          <w:rFonts w:ascii="Arial" w:hAnsi="Arial" w:cs="Arial"/>
        </w:rPr>
        <w:t>85/2023</w:t>
      </w:r>
      <w:r>
        <w:rPr>
          <w:rFonts w:ascii="Arial" w:hAnsi="Arial" w:cs="Arial"/>
        </w:rPr>
        <w:t xml:space="preserve">), propisano je da </w:t>
      </w:r>
      <w:r w:rsidR="00205C37">
        <w:rPr>
          <w:rFonts w:ascii="Arial" w:hAnsi="Arial" w:cs="Arial"/>
        </w:rPr>
        <w:t>G</w:t>
      </w:r>
      <w:r>
        <w:rPr>
          <w:rFonts w:ascii="Arial" w:hAnsi="Arial" w:cs="Arial"/>
        </w:rPr>
        <w:t>odišnji izvještaj o izvršenju proračuna sadrži:</w:t>
      </w:r>
    </w:p>
    <w:p w14:paraId="70ED01EC" w14:textId="214CF5AE" w:rsidR="001860FB" w:rsidRPr="00875E1D" w:rsidRDefault="001860FB" w:rsidP="001860FB">
      <w:pPr>
        <w:ind w:left="705" w:hanging="705"/>
        <w:rPr>
          <w:rFonts w:ascii="Arial" w:hAnsi="Arial" w:cs="Arial"/>
        </w:rPr>
      </w:pPr>
      <w:r>
        <w:t>1.</w:t>
      </w:r>
      <w:r w:rsidRPr="00875E1D">
        <w:rPr>
          <w:rFonts w:ascii="Arial" w:hAnsi="Arial" w:cs="Arial"/>
        </w:rPr>
        <w:tab/>
        <w:t>Opći dio proračuna koji čini</w:t>
      </w:r>
      <w:r w:rsidR="0087397C">
        <w:rPr>
          <w:rFonts w:ascii="Arial" w:hAnsi="Arial" w:cs="Arial"/>
        </w:rPr>
        <w:t xml:space="preserve"> </w:t>
      </w:r>
      <w:r w:rsidRPr="00875E1D">
        <w:rPr>
          <w:rFonts w:ascii="Arial" w:hAnsi="Arial" w:cs="Arial"/>
        </w:rPr>
        <w:t>Račun prihoda i rashoda i Račun financiranja,</w:t>
      </w:r>
    </w:p>
    <w:p w14:paraId="4F6FA582" w14:textId="247C5592" w:rsidR="001860FB" w:rsidRPr="00875E1D" w:rsidRDefault="001860FB" w:rsidP="001860FB">
      <w:pPr>
        <w:ind w:left="705" w:hanging="705"/>
        <w:rPr>
          <w:rFonts w:ascii="Arial" w:hAnsi="Arial" w:cs="Arial"/>
        </w:rPr>
      </w:pPr>
      <w:r w:rsidRPr="00875E1D">
        <w:rPr>
          <w:rFonts w:ascii="Arial" w:hAnsi="Arial" w:cs="Arial"/>
        </w:rPr>
        <w:t>2.</w:t>
      </w:r>
      <w:r w:rsidRPr="00875E1D">
        <w:rPr>
          <w:rFonts w:ascii="Arial" w:hAnsi="Arial" w:cs="Arial"/>
        </w:rPr>
        <w:tab/>
        <w:t>Posebni dio proračuna po</w:t>
      </w:r>
      <w:r w:rsidR="00FD1EE1">
        <w:rPr>
          <w:rFonts w:ascii="Arial" w:hAnsi="Arial" w:cs="Arial"/>
        </w:rPr>
        <w:t xml:space="preserve"> organizacijskoj i</w:t>
      </w:r>
      <w:r w:rsidRPr="00875E1D">
        <w:rPr>
          <w:rFonts w:ascii="Arial" w:hAnsi="Arial" w:cs="Arial"/>
        </w:rPr>
        <w:t xml:space="preserve"> programskoj klasifikaciji,</w:t>
      </w:r>
    </w:p>
    <w:p w14:paraId="297D4198" w14:textId="743F825F" w:rsidR="00FD1EE1" w:rsidRDefault="001860FB" w:rsidP="007F362C">
      <w:pPr>
        <w:rPr>
          <w:rFonts w:ascii="Arial" w:hAnsi="Arial" w:cs="Arial"/>
        </w:rPr>
      </w:pPr>
      <w:r w:rsidRPr="00875E1D">
        <w:rPr>
          <w:rFonts w:ascii="Arial" w:hAnsi="Arial" w:cs="Arial"/>
        </w:rPr>
        <w:t>3.</w:t>
      </w:r>
      <w:r w:rsidRPr="00875E1D">
        <w:rPr>
          <w:rFonts w:ascii="Arial" w:hAnsi="Arial" w:cs="Arial"/>
        </w:rPr>
        <w:tab/>
      </w:r>
      <w:r w:rsidR="00FD1EE1" w:rsidRPr="00FD1EE1">
        <w:rPr>
          <w:rFonts w:ascii="Arial" w:hAnsi="Arial" w:cs="Arial"/>
        </w:rPr>
        <w:t>Obrazloženje ostvarenja prihoda i primitaka, rashoda i izdataka,</w:t>
      </w:r>
    </w:p>
    <w:p w14:paraId="092D3FED" w14:textId="4907D6D7" w:rsidR="001860FB" w:rsidRPr="00875E1D" w:rsidRDefault="00FD1EE1" w:rsidP="007F362C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FD1EE1">
        <w:rPr>
          <w:rFonts w:ascii="Arial" w:hAnsi="Arial" w:cs="Arial"/>
        </w:rPr>
        <w:t>Izvještaj o korištenju proračunske zalihe,</w:t>
      </w:r>
    </w:p>
    <w:p w14:paraId="27FA1674" w14:textId="5E9FDF39" w:rsidR="001860FB" w:rsidRPr="00875E1D" w:rsidRDefault="00FD1EE1" w:rsidP="007F362C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860FB" w:rsidRPr="00875E1D">
        <w:rPr>
          <w:rFonts w:ascii="Arial" w:hAnsi="Arial" w:cs="Arial"/>
        </w:rPr>
        <w:t>.</w:t>
      </w:r>
      <w:r w:rsidR="001860FB" w:rsidRPr="00875E1D">
        <w:rPr>
          <w:rFonts w:ascii="Arial" w:hAnsi="Arial" w:cs="Arial"/>
        </w:rPr>
        <w:tab/>
      </w:r>
      <w:r w:rsidRPr="00FD1EE1">
        <w:rPr>
          <w:rFonts w:ascii="Arial" w:hAnsi="Arial" w:cs="Arial"/>
        </w:rPr>
        <w:t>Izvještaj o zaduživanju na domaćem i stranom tržištu novca i kapitala,</w:t>
      </w:r>
    </w:p>
    <w:p w14:paraId="403C3230" w14:textId="625C2A10" w:rsidR="001860FB" w:rsidRDefault="00FD1EE1" w:rsidP="007F362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97E34">
        <w:rPr>
          <w:rFonts w:ascii="Arial" w:hAnsi="Arial" w:cs="Arial"/>
        </w:rPr>
        <w:t>.</w:t>
      </w:r>
      <w:r w:rsidR="00997E34">
        <w:rPr>
          <w:rFonts w:ascii="Arial" w:hAnsi="Arial" w:cs="Arial"/>
        </w:rPr>
        <w:tab/>
        <w:t>Izvještaj o danim jamstvima,</w:t>
      </w:r>
      <w:r w:rsidR="001860FB" w:rsidRPr="00875E1D">
        <w:rPr>
          <w:rFonts w:ascii="Arial" w:hAnsi="Arial" w:cs="Arial"/>
        </w:rPr>
        <w:t xml:space="preserve"> izdacima po jamstvima</w:t>
      </w:r>
      <w:r w:rsidR="00997E34">
        <w:rPr>
          <w:rFonts w:ascii="Arial" w:hAnsi="Arial" w:cs="Arial"/>
        </w:rPr>
        <w:t>, instrumentima osiguranja</w:t>
      </w:r>
      <w:r w:rsidR="00856AA1">
        <w:rPr>
          <w:rFonts w:ascii="Arial" w:hAnsi="Arial" w:cs="Arial"/>
        </w:rPr>
        <w:t>,</w:t>
      </w:r>
      <w:r w:rsidR="00DB0D15">
        <w:rPr>
          <w:rFonts w:ascii="Arial" w:hAnsi="Arial" w:cs="Arial"/>
        </w:rPr>
        <w:t xml:space="preserve"> </w:t>
      </w:r>
    </w:p>
    <w:p w14:paraId="7F83648B" w14:textId="04C6906B" w:rsidR="00856AA1" w:rsidRDefault="00856AA1" w:rsidP="007F362C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856AA1">
        <w:rPr>
          <w:rFonts w:ascii="Arial" w:hAnsi="Arial" w:cs="Arial"/>
        </w:rPr>
        <w:t>Izvještaj o korištenju sredstava Europske unije</w:t>
      </w:r>
      <w:r>
        <w:rPr>
          <w:rFonts w:ascii="Arial" w:hAnsi="Arial" w:cs="Arial"/>
        </w:rPr>
        <w:t>,</w:t>
      </w:r>
    </w:p>
    <w:p w14:paraId="215AA412" w14:textId="509EFBDD" w:rsidR="00856AA1" w:rsidRDefault="00856AA1" w:rsidP="007F3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</w:r>
      <w:r w:rsidRPr="00856AA1">
        <w:rPr>
          <w:rFonts w:ascii="Arial" w:hAnsi="Arial" w:cs="Arial"/>
        </w:rPr>
        <w:t>Izvještaj o danim zajmovima i potraživanjima po danim zajmovima</w:t>
      </w:r>
      <w:r>
        <w:rPr>
          <w:rFonts w:ascii="Arial" w:hAnsi="Arial" w:cs="Arial"/>
        </w:rPr>
        <w:t>,</w:t>
      </w:r>
    </w:p>
    <w:p w14:paraId="76B3E063" w14:textId="7E312074" w:rsidR="00856AA1" w:rsidRDefault="00856AA1" w:rsidP="00856AA1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Pr="00856AA1">
        <w:rPr>
          <w:rFonts w:ascii="Arial" w:hAnsi="Arial" w:cs="Arial"/>
        </w:rPr>
        <w:t>Izvještaj o stanju potraživanja i dospjelih obveza te o stanju potencijalnih obveza po osnovi sudskih sporova</w:t>
      </w:r>
      <w:r>
        <w:rPr>
          <w:rFonts w:ascii="Arial" w:hAnsi="Arial" w:cs="Arial"/>
        </w:rPr>
        <w:t>.</w:t>
      </w:r>
    </w:p>
    <w:p w14:paraId="494AA58F" w14:textId="77777777" w:rsidR="00FB7D8B" w:rsidRDefault="00FB7D8B" w:rsidP="00856AA1">
      <w:pPr>
        <w:ind w:left="705" w:hanging="705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BC4F5E" w14:paraId="5B86E06A" w14:textId="77777777" w:rsidTr="00FD1EE1">
        <w:tc>
          <w:tcPr>
            <w:tcW w:w="9062" w:type="dxa"/>
          </w:tcPr>
          <w:p w14:paraId="18965D52" w14:textId="1F036013" w:rsidR="00BC4F5E" w:rsidRPr="00BC4F5E" w:rsidRDefault="00BC4F5E" w:rsidP="00000AB3">
            <w:pPr>
              <w:jc w:val="both"/>
              <w:rPr>
                <w:rFonts w:ascii="Arial" w:hAnsi="Arial" w:cs="Arial"/>
              </w:rPr>
            </w:pPr>
            <w:r w:rsidRPr="00BC4F5E">
              <w:rPr>
                <w:rFonts w:ascii="Arial" w:hAnsi="Arial" w:cs="Arial"/>
                <w:b/>
              </w:rPr>
              <w:t>Opći dio proračuna</w:t>
            </w:r>
            <w:r w:rsidRPr="00BC4F5E">
              <w:rPr>
                <w:rFonts w:ascii="Arial" w:hAnsi="Arial" w:cs="Arial"/>
              </w:rPr>
              <w:t xml:space="preserve"> </w:t>
            </w:r>
          </w:p>
        </w:tc>
      </w:tr>
    </w:tbl>
    <w:p w14:paraId="605C233D" w14:textId="77777777" w:rsidR="00D73A8B" w:rsidRDefault="00D73A8B" w:rsidP="00BC4F5E">
      <w:pPr>
        <w:jc w:val="both"/>
        <w:rPr>
          <w:rFonts w:ascii="Arial" w:hAnsi="Arial" w:cs="Arial"/>
        </w:rPr>
      </w:pPr>
    </w:p>
    <w:p w14:paraId="49C0C81B" w14:textId="71D0AD7C" w:rsidR="00BC4F5E" w:rsidRDefault="00CB08DF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dio proračuna</w:t>
      </w:r>
      <w:r w:rsidRPr="00CB08DF">
        <w:rPr>
          <w:rFonts w:ascii="Arial" w:hAnsi="Arial" w:cs="Arial"/>
        </w:rPr>
        <w:t xml:space="preserve"> u </w:t>
      </w:r>
      <w:r w:rsidR="00C62E00">
        <w:rPr>
          <w:rFonts w:ascii="Arial" w:hAnsi="Arial" w:cs="Arial"/>
        </w:rPr>
        <w:t>G</w:t>
      </w:r>
      <w:r w:rsidRPr="00CB08DF">
        <w:rPr>
          <w:rFonts w:ascii="Arial" w:hAnsi="Arial" w:cs="Arial"/>
        </w:rPr>
        <w:t xml:space="preserve">odišnjem izvještaju o izvršenju proračuna za </w:t>
      </w:r>
      <w:r w:rsidR="00CC4E08">
        <w:rPr>
          <w:rFonts w:ascii="Arial" w:hAnsi="Arial" w:cs="Arial"/>
        </w:rPr>
        <w:t xml:space="preserve">razdoblje </w:t>
      </w:r>
      <w:r w:rsidR="002D1E76">
        <w:rPr>
          <w:rFonts w:ascii="Arial" w:hAnsi="Arial" w:cs="Arial"/>
        </w:rPr>
        <w:t xml:space="preserve">od </w:t>
      </w:r>
      <w:r w:rsidR="00CC4E08">
        <w:rPr>
          <w:rFonts w:ascii="Arial" w:hAnsi="Arial" w:cs="Arial"/>
        </w:rPr>
        <w:t>01.01. do 3</w:t>
      </w:r>
      <w:r w:rsidR="00816590">
        <w:rPr>
          <w:rFonts w:ascii="Arial" w:hAnsi="Arial" w:cs="Arial"/>
        </w:rPr>
        <w:t>1</w:t>
      </w:r>
      <w:r w:rsidR="00CC4E08">
        <w:rPr>
          <w:rFonts w:ascii="Arial" w:hAnsi="Arial" w:cs="Arial"/>
        </w:rPr>
        <w:t>.</w:t>
      </w:r>
      <w:r w:rsidR="00816590">
        <w:rPr>
          <w:rFonts w:ascii="Arial" w:hAnsi="Arial" w:cs="Arial"/>
        </w:rPr>
        <w:t>12</w:t>
      </w:r>
      <w:r w:rsidR="00CC4E08">
        <w:rPr>
          <w:rFonts w:ascii="Arial" w:hAnsi="Arial" w:cs="Arial"/>
        </w:rPr>
        <w:t>.</w:t>
      </w:r>
      <w:r w:rsidRPr="00CB08DF">
        <w:rPr>
          <w:rFonts w:ascii="Arial" w:hAnsi="Arial" w:cs="Arial"/>
        </w:rPr>
        <w:t>20</w:t>
      </w:r>
      <w:r w:rsidR="00262DEB">
        <w:rPr>
          <w:rFonts w:ascii="Arial" w:hAnsi="Arial" w:cs="Arial"/>
        </w:rPr>
        <w:t>2</w:t>
      </w:r>
      <w:r w:rsidR="00A63E8A">
        <w:rPr>
          <w:rFonts w:ascii="Arial" w:hAnsi="Arial" w:cs="Arial"/>
        </w:rPr>
        <w:t>5</w:t>
      </w:r>
      <w:r w:rsidRPr="00CB08DF">
        <w:rPr>
          <w:rFonts w:ascii="Arial" w:hAnsi="Arial" w:cs="Arial"/>
        </w:rPr>
        <w:t xml:space="preserve">. godinu iskazuje </w:t>
      </w:r>
      <w:r>
        <w:rPr>
          <w:rFonts w:ascii="Arial" w:hAnsi="Arial" w:cs="Arial"/>
        </w:rPr>
        <w:t>prihode</w:t>
      </w:r>
      <w:r w:rsidR="00D73A8B">
        <w:rPr>
          <w:rFonts w:ascii="Arial" w:hAnsi="Arial" w:cs="Arial"/>
        </w:rPr>
        <w:t xml:space="preserve"> i primitke te</w:t>
      </w:r>
      <w:r>
        <w:rPr>
          <w:rFonts w:ascii="Arial" w:hAnsi="Arial" w:cs="Arial"/>
        </w:rPr>
        <w:t xml:space="preserve"> </w:t>
      </w:r>
      <w:r w:rsidRPr="00CB08DF">
        <w:rPr>
          <w:rFonts w:ascii="Arial" w:hAnsi="Arial" w:cs="Arial"/>
        </w:rPr>
        <w:t xml:space="preserve">rashode </w:t>
      </w:r>
      <w:r w:rsidR="00D73A8B">
        <w:rPr>
          <w:rFonts w:ascii="Arial" w:hAnsi="Arial" w:cs="Arial"/>
        </w:rPr>
        <w:t xml:space="preserve">i izdatke </w:t>
      </w:r>
      <w:r w:rsidR="00CC4E08">
        <w:rPr>
          <w:rFonts w:ascii="Arial" w:hAnsi="Arial" w:cs="Arial"/>
        </w:rPr>
        <w:t>navedenog razdoblja</w:t>
      </w:r>
      <w:r w:rsidRPr="00CB08DF">
        <w:rPr>
          <w:rFonts w:ascii="Arial" w:hAnsi="Arial" w:cs="Arial"/>
        </w:rPr>
        <w:t xml:space="preserve">, a prezentira se </w:t>
      </w:r>
      <w:r w:rsidR="00D73A8B">
        <w:rPr>
          <w:rFonts w:ascii="Arial" w:hAnsi="Arial" w:cs="Arial"/>
        </w:rPr>
        <w:t>slijedećim izvještajima</w:t>
      </w:r>
      <w:r w:rsidRPr="00CB08DF">
        <w:rPr>
          <w:rFonts w:ascii="Arial" w:hAnsi="Arial" w:cs="Arial"/>
        </w:rPr>
        <w:t>:</w:t>
      </w:r>
    </w:p>
    <w:p w14:paraId="03C991B3" w14:textId="77777777" w:rsidR="00CB08DF" w:rsidRPr="00ED304D" w:rsidRDefault="00CB08DF" w:rsidP="00ED30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D304D">
        <w:rPr>
          <w:rFonts w:ascii="Arial" w:hAnsi="Arial" w:cs="Arial"/>
        </w:rPr>
        <w:t>Izvještaj o izvršenju proračuna</w:t>
      </w:r>
    </w:p>
    <w:p w14:paraId="66E723FE" w14:textId="77777777" w:rsidR="00CB08DF" w:rsidRPr="00ED304D" w:rsidRDefault="00CB08DF" w:rsidP="00ED30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D304D">
        <w:rPr>
          <w:rFonts w:ascii="Arial" w:hAnsi="Arial" w:cs="Arial"/>
        </w:rPr>
        <w:t>Prihodi i rashodi prema ekonomskoj klasifikaciji</w:t>
      </w:r>
    </w:p>
    <w:p w14:paraId="4C5CA84E" w14:textId="378FCFF6" w:rsidR="00CB08DF" w:rsidRPr="00ED304D" w:rsidRDefault="00D73A8B" w:rsidP="00ED30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D304D">
        <w:rPr>
          <w:rFonts w:ascii="Arial" w:hAnsi="Arial" w:cs="Arial"/>
        </w:rPr>
        <w:t>Prihodi i rashodi prema izvorima</w:t>
      </w:r>
      <w:r w:rsidR="00252C71">
        <w:rPr>
          <w:rFonts w:ascii="Arial" w:hAnsi="Arial" w:cs="Arial"/>
        </w:rPr>
        <w:t xml:space="preserve"> financiranja</w:t>
      </w:r>
    </w:p>
    <w:p w14:paraId="19B19ACB" w14:textId="77777777" w:rsidR="00D73A8B" w:rsidRPr="00ED304D" w:rsidRDefault="00D73A8B" w:rsidP="00ED30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D304D">
        <w:rPr>
          <w:rFonts w:ascii="Arial" w:hAnsi="Arial" w:cs="Arial"/>
        </w:rPr>
        <w:t>Rashodi prema funkcijskoj klasifikaciji</w:t>
      </w:r>
    </w:p>
    <w:p w14:paraId="4D8C2B26" w14:textId="77777777" w:rsidR="00D73A8B" w:rsidRPr="00ED304D" w:rsidRDefault="00D73A8B" w:rsidP="00ED30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D304D">
        <w:rPr>
          <w:rFonts w:ascii="Arial" w:hAnsi="Arial" w:cs="Arial"/>
        </w:rPr>
        <w:t>Račun financiranja prema ekonomskoj klasifikaciji</w:t>
      </w:r>
    </w:p>
    <w:p w14:paraId="15601CA3" w14:textId="4ADDDDC5" w:rsidR="00D73A8B" w:rsidRPr="00ED304D" w:rsidRDefault="00D73A8B" w:rsidP="00ED30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D304D">
        <w:rPr>
          <w:rFonts w:ascii="Arial" w:hAnsi="Arial" w:cs="Arial"/>
        </w:rPr>
        <w:t>Račun financiranja prema izvorima</w:t>
      </w:r>
      <w:r w:rsidR="00FD1EE1">
        <w:rPr>
          <w:rFonts w:ascii="Arial" w:hAnsi="Arial" w:cs="Arial"/>
        </w:rPr>
        <w:t xml:space="preserve"> financiranja</w:t>
      </w:r>
    </w:p>
    <w:p w14:paraId="233745CD" w14:textId="26E143C9" w:rsidR="00205C37" w:rsidRDefault="00092DD0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C1F06">
        <w:rPr>
          <w:rFonts w:ascii="Arial" w:hAnsi="Arial" w:cs="Arial"/>
        </w:rPr>
        <w:t xml:space="preserve">rihodi </w:t>
      </w:r>
      <w:r>
        <w:rPr>
          <w:rFonts w:ascii="Arial" w:hAnsi="Arial" w:cs="Arial"/>
        </w:rPr>
        <w:t>poslovanja</w:t>
      </w:r>
      <w:r w:rsidR="00FC1F06">
        <w:rPr>
          <w:rFonts w:ascii="Arial" w:hAnsi="Arial" w:cs="Arial"/>
        </w:rPr>
        <w:t xml:space="preserve"> za </w:t>
      </w:r>
      <w:r w:rsidR="00E91EB3">
        <w:rPr>
          <w:rFonts w:ascii="Arial" w:hAnsi="Arial" w:cs="Arial"/>
        </w:rPr>
        <w:t xml:space="preserve">izvještajno </w:t>
      </w:r>
      <w:r w:rsidR="00AF399C">
        <w:rPr>
          <w:rFonts w:ascii="Arial" w:hAnsi="Arial" w:cs="Arial"/>
        </w:rPr>
        <w:t>razdoblje</w:t>
      </w:r>
      <w:r w:rsidR="00E91EB3">
        <w:rPr>
          <w:rFonts w:ascii="Arial" w:hAnsi="Arial" w:cs="Arial"/>
        </w:rPr>
        <w:t xml:space="preserve"> od</w:t>
      </w:r>
      <w:r w:rsidR="00AF399C">
        <w:rPr>
          <w:rFonts w:ascii="Arial" w:hAnsi="Arial" w:cs="Arial"/>
        </w:rPr>
        <w:t xml:space="preserve"> 01.01. do 3</w:t>
      </w:r>
      <w:r w:rsidR="00816590">
        <w:rPr>
          <w:rFonts w:ascii="Arial" w:hAnsi="Arial" w:cs="Arial"/>
        </w:rPr>
        <w:t>1</w:t>
      </w:r>
      <w:r w:rsidR="00AF399C">
        <w:rPr>
          <w:rFonts w:ascii="Arial" w:hAnsi="Arial" w:cs="Arial"/>
        </w:rPr>
        <w:t>.</w:t>
      </w:r>
      <w:r w:rsidR="00816590">
        <w:rPr>
          <w:rFonts w:ascii="Arial" w:hAnsi="Arial" w:cs="Arial"/>
        </w:rPr>
        <w:t>12</w:t>
      </w:r>
      <w:r w:rsidR="00AF399C">
        <w:rPr>
          <w:rFonts w:ascii="Arial" w:hAnsi="Arial" w:cs="Arial"/>
        </w:rPr>
        <w:t>.</w:t>
      </w:r>
      <w:r w:rsidR="00205C37">
        <w:rPr>
          <w:rFonts w:ascii="Arial" w:hAnsi="Arial" w:cs="Arial"/>
        </w:rPr>
        <w:t>20</w:t>
      </w:r>
      <w:r w:rsidR="001972D8">
        <w:rPr>
          <w:rFonts w:ascii="Arial" w:hAnsi="Arial" w:cs="Arial"/>
        </w:rPr>
        <w:t>2</w:t>
      </w:r>
      <w:r w:rsidR="00A63E8A">
        <w:rPr>
          <w:rFonts w:ascii="Arial" w:hAnsi="Arial" w:cs="Arial"/>
        </w:rPr>
        <w:t>5</w:t>
      </w:r>
      <w:r w:rsidR="00205C37">
        <w:rPr>
          <w:rFonts w:ascii="Arial" w:hAnsi="Arial" w:cs="Arial"/>
        </w:rPr>
        <w:t>. godin</w:t>
      </w:r>
      <w:r w:rsidR="00AF399C">
        <w:rPr>
          <w:rFonts w:ascii="Arial" w:hAnsi="Arial" w:cs="Arial"/>
        </w:rPr>
        <w:t>e</w:t>
      </w:r>
      <w:r w:rsidR="00FC1F06">
        <w:rPr>
          <w:rFonts w:ascii="Arial" w:hAnsi="Arial" w:cs="Arial"/>
        </w:rPr>
        <w:t xml:space="preserve"> iznose</w:t>
      </w:r>
      <w:r w:rsidR="007E1C12">
        <w:rPr>
          <w:rFonts w:ascii="Arial" w:hAnsi="Arial" w:cs="Arial"/>
        </w:rPr>
        <w:t xml:space="preserve"> </w:t>
      </w:r>
      <w:r w:rsidR="00A63E8A">
        <w:rPr>
          <w:rFonts w:ascii="Arial" w:hAnsi="Arial" w:cs="Arial"/>
          <w:b/>
        </w:rPr>
        <w:t>1.463.979,54</w:t>
      </w:r>
      <w:r w:rsidR="002A39E0">
        <w:rPr>
          <w:rFonts w:ascii="Arial" w:hAnsi="Arial" w:cs="Arial"/>
          <w:b/>
        </w:rPr>
        <w:t xml:space="preserve"> eur</w:t>
      </w:r>
      <w:r w:rsidR="007E1C12" w:rsidRPr="00092DD0">
        <w:rPr>
          <w:rFonts w:ascii="Arial" w:hAnsi="Arial" w:cs="Arial"/>
        </w:rPr>
        <w:t>.</w:t>
      </w:r>
      <w:r w:rsidR="007E1C12">
        <w:rPr>
          <w:rFonts w:ascii="Arial" w:hAnsi="Arial" w:cs="Arial"/>
        </w:rPr>
        <w:t xml:space="preserve"> </w:t>
      </w:r>
      <w:r w:rsidR="002A39E0">
        <w:rPr>
          <w:rFonts w:ascii="Arial" w:hAnsi="Arial" w:cs="Arial"/>
        </w:rPr>
        <w:t xml:space="preserve">Prihodi </w:t>
      </w:r>
      <w:r>
        <w:rPr>
          <w:rFonts w:ascii="Arial" w:hAnsi="Arial" w:cs="Arial"/>
        </w:rPr>
        <w:t>od prodaje nefinancijske imovine</w:t>
      </w:r>
      <w:r w:rsidRPr="00092DD0">
        <w:t xml:space="preserve"> </w:t>
      </w:r>
      <w:r w:rsidR="00A63E8A">
        <w:rPr>
          <w:rFonts w:ascii="Arial" w:hAnsi="Arial" w:cs="Arial"/>
        </w:rPr>
        <w:t>nisu ostvareni u izvještajnom razdoblju</w:t>
      </w:r>
      <w:r w:rsidR="00816590">
        <w:rPr>
          <w:rFonts w:ascii="Arial" w:hAnsi="Arial" w:cs="Arial"/>
        </w:rPr>
        <w:t xml:space="preserve">, </w:t>
      </w:r>
      <w:r w:rsidR="00816590" w:rsidRPr="00816590">
        <w:rPr>
          <w:rFonts w:ascii="Arial" w:hAnsi="Arial" w:cs="Arial"/>
        </w:rPr>
        <w:t>dok primici</w:t>
      </w:r>
      <w:r w:rsidR="00816590">
        <w:t xml:space="preserve"> </w:t>
      </w:r>
      <w:r w:rsidR="002A39E0" w:rsidRPr="002A39E0">
        <w:rPr>
          <w:rFonts w:ascii="Arial" w:hAnsi="Arial" w:cs="Arial"/>
        </w:rPr>
        <w:t>o</w:t>
      </w:r>
      <w:r w:rsidR="005B72B3">
        <w:rPr>
          <w:rFonts w:ascii="Arial" w:hAnsi="Arial" w:cs="Arial"/>
        </w:rPr>
        <w:t>d</w:t>
      </w:r>
      <w:r w:rsidR="00D617BD">
        <w:rPr>
          <w:rFonts w:ascii="Arial" w:hAnsi="Arial" w:cs="Arial"/>
        </w:rPr>
        <w:t xml:space="preserve"> financijske imovine i zaduživanja </w:t>
      </w:r>
      <w:r w:rsidR="00A63E8A">
        <w:rPr>
          <w:rFonts w:ascii="Arial" w:hAnsi="Arial" w:cs="Arial"/>
        </w:rPr>
        <w:t xml:space="preserve">iznose </w:t>
      </w:r>
      <w:r w:rsidR="00A63E8A" w:rsidRPr="00A63E8A">
        <w:rPr>
          <w:rFonts w:ascii="Arial" w:hAnsi="Arial" w:cs="Arial"/>
          <w:b/>
          <w:bCs/>
        </w:rPr>
        <w:t>84.999,98 eur</w:t>
      </w:r>
      <w:r w:rsidR="00A63E8A">
        <w:rPr>
          <w:rFonts w:ascii="Arial" w:hAnsi="Arial" w:cs="Arial"/>
        </w:rPr>
        <w:t>.</w:t>
      </w:r>
    </w:p>
    <w:p w14:paraId="1A7D7FE0" w14:textId="7175C0FE" w:rsidR="00B25995" w:rsidRPr="00A63E8A" w:rsidRDefault="00205C37" w:rsidP="00BC4F5E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Ukupni p</w:t>
      </w:r>
      <w:r w:rsidR="007E1C12">
        <w:rPr>
          <w:rFonts w:ascii="Arial" w:hAnsi="Arial" w:cs="Arial"/>
        </w:rPr>
        <w:t>rihodi</w:t>
      </w:r>
      <w:r>
        <w:rPr>
          <w:rFonts w:ascii="Arial" w:hAnsi="Arial" w:cs="Arial"/>
        </w:rPr>
        <w:t xml:space="preserve"> za 20</w:t>
      </w:r>
      <w:r w:rsidR="001B742E">
        <w:rPr>
          <w:rFonts w:ascii="Arial" w:hAnsi="Arial" w:cs="Arial"/>
        </w:rPr>
        <w:t>2</w:t>
      </w:r>
      <w:r w:rsidR="00A63E8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 </w:t>
      </w:r>
      <w:r w:rsidR="005140A1">
        <w:rPr>
          <w:rFonts w:ascii="Arial" w:hAnsi="Arial" w:cs="Arial"/>
        </w:rPr>
        <w:t xml:space="preserve">planirani su u iznosu od </w:t>
      </w:r>
      <w:r w:rsidR="00A63E8A">
        <w:rPr>
          <w:rFonts w:ascii="Arial" w:hAnsi="Arial" w:cs="Arial"/>
        </w:rPr>
        <w:t>2.940.304,76</w:t>
      </w:r>
      <w:r w:rsidR="00B71791">
        <w:rPr>
          <w:rFonts w:ascii="Arial" w:hAnsi="Arial" w:cs="Arial"/>
        </w:rPr>
        <w:t xml:space="preserve"> eur. </w:t>
      </w:r>
      <w:r w:rsidR="00565B87">
        <w:rPr>
          <w:rFonts w:ascii="Arial" w:hAnsi="Arial" w:cs="Arial"/>
        </w:rPr>
        <w:t xml:space="preserve"> </w:t>
      </w:r>
      <w:r w:rsidR="00B25995">
        <w:rPr>
          <w:rFonts w:ascii="Arial" w:hAnsi="Arial" w:cs="Arial"/>
        </w:rPr>
        <w:t>Ostvareni prihodi</w:t>
      </w:r>
      <w:r w:rsidR="00A63F28">
        <w:rPr>
          <w:rFonts w:ascii="Arial" w:hAnsi="Arial" w:cs="Arial"/>
        </w:rPr>
        <w:t xml:space="preserve"> </w:t>
      </w:r>
      <w:r w:rsidR="00B25995">
        <w:rPr>
          <w:rFonts w:ascii="Arial" w:hAnsi="Arial" w:cs="Arial"/>
        </w:rPr>
        <w:t>za naveden</w:t>
      </w:r>
      <w:r w:rsidR="001D4A52">
        <w:rPr>
          <w:rFonts w:ascii="Arial" w:hAnsi="Arial" w:cs="Arial"/>
        </w:rPr>
        <w:t>o</w:t>
      </w:r>
      <w:r w:rsidR="00B25995">
        <w:rPr>
          <w:rFonts w:ascii="Arial" w:hAnsi="Arial" w:cs="Arial"/>
        </w:rPr>
        <w:t xml:space="preserve"> razdoblje iznose </w:t>
      </w:r>
      <w:r w:rsidR="00A63E8A">
        <w:rPr>
          <w:rFonts w:ascii="Arial" w:hAnsi="Arial" w:cs="Arial"/>
        </w:rPr>
        <w:t>49,79</w:t>
      </w:r>
      <w:r w:rsidR="00B25995">
        <w:rPr>
          <w:rFonts w:ascii="Arial" w:hAnsi="Arial" w:cs="Arial"/>
        </w:rPr>
        <w:t>%.</w:t>
      </w:r>
      <w:r w:rsidR="00A63E8A">
        <w:rPr>
          <w:rFonts w:ascii="Arial" w:hAnsi="Arial" w:cs="Arial"/>
        </w:rPr>
        <w:t xml:space="preserve"> </w:t>
      </w:r>
    </w:p>
    <w:p w14:paraId="5B9F62E7" w14:textId="500D0C6C" w:rsidR="005351BF" w:rsidRDefault="003D08BF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Prihodi od poreza </w:t>
      </w:r>
      <w:r w:rsidRPr="003D08BF">
        <w:rPr>
          <w:rFonts w:ascii="Arial" w:hAnsi="Arial" w:cs="Arial"/>
        </w:rPr>
        <w:t xml:space="preserve">na godišnjoj razini planirani su u iznosu od </w:t>
      </w:r>
      <w:r w:rsidR="00413768">
        <w:rPr>
          <w:rFonts w:ascii="Arial" w:hAnsi="Arial" w:cs="Arial"/>
        </w:rPr>
        <w:t>784.120</w:t>
      </w:r>
      <w:r w:rsidR="001B3FE8">
        <w:rPr>
          <w:rFonts w:ascii="Arial" w:hAnsi="Arial" w:cs="Arial"/>
        </w:rPr>
        <w:t>,00</w:t>
      </w:r>
      <w:r w:rsidR="00B71791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a u </w:t>
      </w:r>
      <w:r w:rsidRPr="003D08BF">
        <w:rPr>
          <w:rFonts w:ascii="Arial" w:hAnsi="Arial" w:cs="Arial"/>
        </w:rPr>
        <w:t xml:space="preserve">izvještajnom razdoblju </w:t>
      </w:r>
      <w:r w:rsidR="005A3073">
        <w:rPr>
          <w:rFonts w:ascii="Arial" w:hAnsi="Arial" w:cs="Arial"/>
        </w:rPr>
        <w:t>ostvaren</w:t>
      </w:r>
      <w:r>
        <w:rPr>
          <w:rFonts w:ascii="Arial" w:hAnsi="Arial" w:cs="Arial"/>
        </w:rPr>
        <w:t xml:space="preserve">i su u iznosu od </w:t>
      </w:r>
      <w:bookmarkStart w:id="1" w:name="_Hlk192843226"/>
      <w:r w:rsidR="00413768">
        <w:rPr>
          <w:rFonts w:ascii="Arial" w:hAnsi="Arial" w:cs="Arial"/>
        </w:rPr>
        <w:t>678.100,25</w:t>
      </w:r>
      <w:r w:rsidR="00B71791">
        <w:rPr>
          <w:rFonts w:ascii="Arial" w:hAnsi="Arial" w:cs="Arial"/>
        </w:rPr>
        <w:t xml:space="preserve"> </w:t>
      </w:r>
      <w:bookmarkEnd w:id="1"/>
      <w:r w:rsidR="00B71791">
        <w:rPr>
          <w:rFonts w:ascii="Arial" w:hAnsi="Arial" w:cs="Arial"/>
        </w:rPr>
        <w:t>eur</w:t>
      </w:r>
      <w:r>
        <w:rPr>
          <w:rFonts w:ascii="Arial" w:hAnsi="Arial" w:cs="Arial"/>
        </w:rPr>
        <w:t xml:space="preserve"> ili </w:t>
      </w:r>
      <w:r w:rsidR="00413768">
        <w:rPr>
          <w:rFonts w:ascii="Arial" w:hAnsi="Arial" w:cs="Arial"/>
        </w:rPr>
        <w:t>86,48</w:t>
      </w:r>
      <w:r>
        <w:rPr>
          <w:rFonts w:ascii="Arial" w:hAnsi="Arial" w:cs="Arial"/>
        </w:rPr>
        <w:t xml:space="preserve">%, u istom izvještajnom razdoblju prethodne godine prihodi od poreza </w:t>
      </w:r>
      <w:r w:rsidR="005A3073">
        <w:rPr>
          <w:rFonts w:ascii="Arial" w:hAnsi="Arial" w:cs="Arial"/>
        </w:rPr>
        <w:t>ostvareni s</w:t>
      </w:r>
      <w:r w:rsidR="00096C6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u iznosu od </w:t>
      </w:r>
      <w:r w:rsidR="00413768">
        <w:rPr>
          <w:rFonts w:ascii="Arial" w:hAnsi="Arial" w:cs="Arial"/>
        </w:rPr>
        <w:t>693.878,44</w:t>
      </w:r>
      <w:r w:rsidR="001B3FE8" w:rsidRPr="001B3FE8">
        <w:rPr>
          <w:rFonts w:ascii="Arial" w:hAnsi="Arial" w:cs="Arial"/>
        </w:rPr>
        <w:t xml:space="preserve"> </w:t>
      </w:r>
      <w:r w:rsidR="00B71791">
        <w:rPr>
          <w:rFonts w:ascii="Arial" w:hAnsi="Arial" w:cs="Arial"/>
        </w:rPr>
        <w:t>eur ili</w:t>
      </w:r>
      <w:r w:rsidR="00A231B4">
        <w:rPr>
          <w:rFonts w:ascii="Arial" w:hAnsi="Arial" w:cs="Arial"/>
        </w:rPr>
        <w:t xml:space="preserve"> </w:t>
      </w:r>
      <w:r w:rsidR="00413768">
        <w:rPr>
          <w:rFonts w:ascii="Arial" w:hAnsi="Arial" w:cs="Arial"/>
        </w:rPr>
        <w:t>97</w:t>
      </w:r>
      <w:r w:rsidR="001B3FE8">
        <w:rPr>
          <w:rFonts w:ascii="Arial" w:hAnsi="Arial" w:cs="Arial"/>
        </w:rPr>
        <w:t>,73</w:t>
      </w:r>
      <w:r>
        <w:rPr>
          <w:rFonts w:ascii="Arial" w:hAnsi="Arial" w:cs="Arial"/>
        </w:rPr>
        <w:t xml:space="preserve">%. </w:t>
      </w:r>
    </w:p>
    <w:p w14:paraId="0CA23068" w14:textId="75718782" w:rsidR="00A54378" w:rsidRPr="00997E34" w:rsidRDefault="0043031E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Pomoći iz proračuna planirani su u iznosu od </w:t>
      </w:r>
      <w:r w:rsidR="001B3FE8">
        <w:rPr>
          <w:rFonts w:ascii="Arial" w:hAnsi="Arial" w:cs="Arial"/>
        </w:rPr>
        <w:t>423.</w:t>
      </w:r>
      <w:r w:rsidR="00413768">
        <w:rPr>
          <w:rFonts w:ascii="Arial" w:hAnsi="Arial" w:cs="Arial"/>
        </w:rPr>
        <w:t>723</w:t>
      </w:r>
      <w:r w:rsidR="001B3FE8">
        <w:rPr>
          <w:rFonts w:ascii="Arial" w:hAnsi="Arial" w:cs="Arial"/>
        </w:rPr>
        <w:t>,00</w:t>
      </w:r>
      <w:r w:rsidR="005F55F6">
        <w:rPr>
          <w:rFonts w:ascii="Arial" w:hAnsi="Arial" w:cs="Arial"/>
        </w:rPr>
        <w:t xml:space="preserve"> eur</w:t>
      </w:r>
      <w:r w:rsidR="005A3073">
        <w:rPr>
          <w:rFonts w:ascii="Arial" w:hAnsi="Arial" w:cs="Arial"/>
        </w:rPr>
        <w:t xml:space="preserve"> a u </w:t>
      </w:r>
      <w:r w:rsidR="005F55F6">
        <w:rPr>
          <w:rFonts w:ascii="Arial" w:hAnsi="Arial" w:cs="Arial"/>
        </w:rPr>
        <w:t>izvještajnom razdoblju ostvarene</w:t>
      </w:r>
      <w:r w:rsidR="005A3073">
        <w:rPr>
          <w:rFonts w:ascii="Arial" w:hAnsi="Arial" w:cs="Arial"/>
        </w:rPr>
        <w:t xml:space="preserve"> su u iznosu od </w:t>
      </w:r>
      <w:bookmarkStart w:id="2" w:name="_Hlk192843419"/>
      <w:r w:rsidR="00413768">
        <w:rPr>
          <w:rFonts w:ascii="Arial" w:hAnsi="Arial" w:cs="Arial"/>
        </w:rPr>
        <w:t>202.129,74</w:t>
      </w:r>
      <w:r w:rsidR="005F55F6">
        <w:rPr>
          <w:rFonts w:ascii="Arial" w:hAnsi="Arial" w:cs="Arial"/>
        </w:rPr>
        <w:t xml:space="preserve"> </w:t>
      </w:r>
      <w:bookmarkEnd w:id="2"/>
      <w:r w:rsidR="005F55F6">
        <w:rPr>
          <w:rFonts w:ascii="Arial" w:hAnsi="Arial" w:cs="Arial"/>
        </w:rPr>
        <w:t>eur</w:t>
      </w:r>
      <w:r w:rsidR="005A3073">
        <w:rPr>
          <w:rFonts w:ascii="Arial" w:hAnsi="Arial" w:cs="Arial"/>
        </w:rPr>
        <w:t xml:space="preserve"> ili </w:t>
      </w:r>
      <w:r w:rsidR="00413768">
        <w:rPr>
          <w:rFonts w:ascii="Arial" w:hAnsi="Arial" w:cs="Arial"/>
        </w:rPr>
        <w:t>47,70</w:t>
      </w:r>
      <w:r w:rsidR="005A3073">
        <w:rPr>
          <w:rFonts w:ascii="Arial" w:hAnsi="Arial" w:cs="Arial"/>
        </w:rPr>
        <w:t xml:space="preserve">%, u istom izvještajnom razdoblju prethodne godine pomoći iz proračuna izvršene su u iznosu od </w:t>
      </w:r>
      <w:r w:rsidR="00413768">
        <w:rPr>
          <w:rFonts w:ascii="Arial" w:hAnsi="Arial" w:cs="Arial"/>
        </w:rPr>
        <w:t>279.000,46</w:t>
      </w:r>
      <w:r w:rsidR="001B3FE8" w:rsidRPr="001B3FE8">
        <w:rPr>
          <w:rFonts w:ascii="Arial" w:hAnsi="Arial" w:cs="Arial"/>
        </w:rPr>
        <w:t xml:space="preserve"> </w:t>
      </w:r>
      <w:r w:rsidR="005F55F6">
        <w:rPr>
          <w:rFonts w:ascii="Arial" w:hAnsi="Arial" w:cs="Arial"/>
        </w:rPr>
        <w:t>eur</w:t>
      </w:r>
      <w:r w:rsidR="00A231B4">
        <w:rPr>
          <w:rFonts w:ascii="Arial" w:hAnsi="Arial" w:cs="Arial"/>
        </w:rPr>
        <w:t xml:space="preserve"> ili </w:t>
      </w:r>
      <w:r w:rsidR="00413768">
        <w:rPr>
          <w:rFonts w:ascii="Arial" w:hAnsi="Arial" w:cs="Arial"/>
        </w:rPr>
        <w:t>72,45</w:t>
      </w:r>
      <w:r w:rsidR="0047744C">
        <w:rPr>
          <w:rFonts w:ascii="Arial" w:hAnsi="Arial" w:cs="Arial"/>
        </w:rPr>
        <w:t>%</w:t>
      </w:r>
      <w:r w:rsidR="005A3073">
        <w:rPr>
          <w:rFonts w:ascii="Arial" w:hAnsi="Arial" w:cs="Arial"/>
        </w:rPr>
        <w:t>.</w:t>
      </w:r>
      <w:r w:rsidR="007F0DB9">
        <w:rPr>
          <w:rFonts w:ascii="Arial" w:hAnsi="Arial" w:cs="Arial"/>
        </w:rPr>
        <w:t xml:space="preserve"> </w:t>
      </w:r>
      <w:r w:rsidR="002417F3">
        <w:rPr>
          <w:rFonts w:ascii="Arial" w:hAnsi="Arial" w:cs="Arial"/>
        </w:rPr>
        <w:t xml:space="preserve">U izvještajnom razdoblju oprihodovala su se </w:t>
      </w:r>
      <w:r w:rsidR="00997E34" w:rsidRPr="00997E34">
        <w:rPr>
          <w:rFonts w:ascii="Arial" w:hAnsi="Arial" w:cs="Arial"/>
        </w:rPr>
        <w:t xml:space="preserve">  sredstva </w:t>
      </w:r>
      <w:r w:rsidR="00E852D9">
        <w:rPr>
          <w:rFonts w:ascii="Arial" w:hAnsi="Arial" w:cs="Arial"/>
        </w:rPr>
        <w:t>potpore za lok</w:t>
      </w:r>
      <w:r w:rsidR="00D2287C">
        <w:rPr>
          <w:rFonts w:ascii="Arial" w:hAnsi="Arial" w:cs="Arial"/>
        </w:rPr>
        <w:t>a</w:t>
      </w:r>
      <w:r w:rsidR="00E852D9">
        <w:rPr>
          <w:rFonts w:ascii="Arial" w:hAnsi="Arial" w:cs="Arial"/>
        </w:rPr>
        <w:t xml:space="preserve">lni razvoj u sklopu inicijative LEADER za DD Kuntrata, kapitalne pomoći iz Državnog proračuna za projekt </w:t>
      </w:r>
      <w:r w:rsidR="00574545">
        <w:rPr>
          <w:rFonts w:ascii="Arial" w:hAnsi="Arial" w:cs="Arial"/>
        </w:rPr>
        <w:t>Šetnica Ugrinić</w:t>
      </w:r>
      <w:r w:rsidR="00E852D9">
        <w:rPr>
          <w:rFonts w:ascii="Arial" w:hAnsi="Arial" w:cs="Arial"/>
        </w:rPr>
        <w:t xml:space="preserve">, </w:t>
      </w:r>
      <w:r w:rsidR="00574545">
        <w:rPr>
          <w:rFonts w:ascii="Arial" w:hAnsi="Arial" w:cs="Arial"/>
        </w:rPr>
        <w:t>tekući</w:t>
      </w:r>
      <w:r w:rsidR="00E852D9">
        <w:rPr>
          <w:rFonts w:ascii="Arial" w:hAnsi="Arial" w:cs="Arial"/>
        </w:rPr>
        <w:t xml:space="preserve"> pomoći iz Županijskog proračuna za </w:t>
      </w:r>
      <w:r w:rsidR="00574545">
        <w:rPr>
          <w:rFonts w:ascii="Arial" w:hAnsi="Arial" w:cs="Arial"/>
        </w:rPr>
        <w:t>Sanaciju pomorskog dobra</w:t>
      </w:r>
      <w:r w:rsidR="00E852D9">
        <w:rPr>
          <w:rFonts w:ascii="Arial" w:hAnsi="Arial" w:cs="Arial"/>
        </w:rPr>
        <w:t xml:space="preserve">, </w:t>
      </w:r>
      <w:r w:rsidR="00574545">
        <w:rPr>
          <w:rFonts w:ascii="Arial" w:hAnsi="Arial" w:cs="Arial"/>
        </w:rPr>
        <w:t xml:space="preserve">Tekuće pomoći iz državnog proračuna za fiskalno izravnavanje i HOP, </w:t>
      </w:r>
      <w:r w:rsidR="002417F3">
        <w:rPr>
          <w:rFonts w:ascii="Arial" w:hAnsi="Arial" w:cs="Arial"/>
        </w:rPr>
        <w:t xml:space="preserve">te </w:t>
      </w:r>
      <w:r w:rsidR="00D2287C">
        <w:rPr>
          <w:rFonts w:ascii="Arial" w:hAnsi="Arial" w:cs="Arial"/>
        </w:rPr>
        <w:t xml:space="preserve">tekuće pomoći </w:t>
      </w:r>
      <w:r w:rsidR="002417F3">
        <w:rPr>
          <w:rFonts w:ascii="Arial" w:hAnsi="Arial" w:cs="Arial"/>
        </w:rPr>
        <w:t>državnog proračuna namijenjena proračunskom korisniku za fiskalnu održivost dječjih vrtića</w:t>
      </w:r>
      <w:r w:rsidR="00D2287C">
        <w:rPr>
          <w:rFonts w:ascii="Arial" w:hAnsi="Arial" w:cs="Arial"/>
        </w:rPr>
        <w:t>,</w:t>
      </w:r>
      <w:r w:rsidR="002417F3">
        <w:rPr>
          <w:rFonts w:ascii="Arial" w:hAnsi="Arial" w:cs="Arial"/>
        </w:rPr>
        <w:t xml:space="preserve">  predškolce</w:t>
      </w:r>
      <w:r w:rsidR="00D2287C">
        <w:rPr>
          <w:rFonts w:ascii="Arial" w:hAnsi="Arial" w:cs="Arial"/>
        </w:rPr>
        <w:t xml:space="preserve"> i djecu s teškoćama u integraciji</w:t>
      </w:r>
      <w:r w:rsidR="00574545">
        <w:rPr>
          <w:rFonts w:ascii="Arial" w:hAnsi="Arial" w:cs="Arial"/>
        </w:rPr>
        <w:t>.</w:t>
      </w:r>
    </w:p>
    <w:p w14:paraId="4527BC41" w14:textId="674EEE72" w:rsidR="005A3073" w:rsidRDefault="005A3073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su u iznosu od </w:t>
      </w:r>
      <w:r w:rsidR="00574545">
        <w:rPr>
          <w:rFonts w:ascii="Arial" w:hAnsi="Arial" w:cs="Arial"/>
        </w:rPr>
        <w:t>302.086</w:t>
      </w:r>
      <w:r w:rsidR="00D2287C">
        <w:rPr>
          <w:rFonts w:ascii="Arial" w:hAnsi="Arial" w:cs="Arial"/>
        </w:rPr>
        <w:t>,00</w:t>
      </w:r>
      <w:r w:rsidR="00266C93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a u izvještajnom razdoblju ostvareni su u iznosu od </w:t>
      </w:r>
      <w:r w:rsidR="00574545">
        <w:rPr>
          <w:rFonts w:ascii="Arial" w:hAnsi="Arial" w:cs="Arial"/>
        </w:rPr>
        <w:t>290.947,37</w:t>
      </w:r>
      <w:r w:rsidR="00266C93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ili </w:t>
      </w:r>
      <w:r w:rsidR="002A5193">
        <w:rPr>
          <w:rFonts w:ascii="Arial" w:hAnsi="Arial" w:cs="Arial"/>
        </w:rPr>
        <w:t>96,31</w:t>
      </w:r>
      <w:r>
        <w:rPr>
          <w:rFonts w:ascii="Arial" w:hAnsi="Arial" w:cs="Arial"/>
        </w:rPr>
        <w:t xml:space="preserve">%, u istom izvještajnom razdoblju prethodne godine prihodi od imovine ostvareni su u iznosu od </w:t>
      </w:r>
      <w:r w:rsidR="002A5193">
        <w:rPr>
          <w:rFonts w:ascii="Arial" w:hAnsi="Arial" w:cs="Arial"/>
        </w:rPr>
        <w:t>266.886,67</w:t>
      </w:r>
      <w:r w:rsidR="00D2287C" w:rsidRPr="00D2287C">
        <w:rPr>
          <w:rFonts w:ascii="Arial" w:hAnsi="Arial" w:cs="Arial"/>
        </w:rPr>
        <w:t xml:space="preserve"> </w:t>
      </w:r>
      <w:r w:rsidR="00266C93">
        <w:rPr>
          <w:rFonts w:ascii="Arial" w:hAnsi="Arial" w:cs="Arial"/>
        </w:rPr>
        <w:t>eur</w:t>
      </w:r>
      <w:r w:rsidR="00FF5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ili </w:t>
      </w:r>
      <w:r w:rsidR="002A5193">
        <w:rPr>
          <w:rFonts w:ascii="Arial" w:hAnsi="Arial" w:cs="Arial"/>
        </w:rPr>
        <w:t>109,02</w:t>
      </w:r>
      <w:r>
        <w:rPr>
          <w:rFonts w:ascii="Arial" w:hAnsi="Arial" w:cs="Arial"/>
        </w:rPr>
        <w:t>%.</w:t>
      </w:r>
    </w:p>
    <w:p w14:paraId="206DE57A" w14:textId="7496569C" w:rsidR="00FF3E4A" w:rsidRDefault="00FF3E4A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pristojbi planirani su u iznosu od</w:t>
      </w:r>
      <w:r w:rsidR="00574545">
        <w:rPr>
          <w:rFonts w:ascii="Arial" w:hAnsi="Arial" w:cs="Arial"/>
        </w:rPr>
        <w:t xml:space="preserve"> 281.755,00</w:t>
      </w:r>
      <w:r w:rsidR="00266C93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a u izvještajnom razdoblju ostvareni su u iznosu od </w:t>
      </w:r>
      <w:bookmarkStart w:id="3" w:name="_Hlk192852512"/>
      <w:r w:rsidR="00574545">
        <w:rPr>
          <w:rFonts w:ascii="Arial" w:hAnsi="Arial" w:cs="Arial"/>
        </w:rPr>
        <w:t>277.300,56</w:t>
      </w:r>
      <w:r w:rsidR="00266C93">
        <w:rPr>
          <w:rFonts w:ascii="Arial" w:hAnsi="Arial" w:cs="Arial"/>
        </w:rPr>
        <w:t xml:space="preserve"> </w:t>
      </w:r>
      <w:bookmarkEnd w:id="3"/>
      <w:r w:rsidR="00266C93">
        <w:rPr>
          <w:rFonts w:ascii="Arial" w:hAnsi="Arial" w:cs="Arial"/>
        </w:rPr>
        <w:t>eur</w:t>
      </w:r>
      <w:r>
        <w:rPr>
          <w:rFonts w:ascii="Arial" w:hAnsi="Arial" w:cs="Arial"/>
        </w:rPr>
        <w:t xml:space="preserve"> ili </w:t>
      </w:r>
      <w:r w:rsidR="002A5193">
        <w:rPr>
          <w:rFonts w:ascii="Arial" w:hAnsi="Arial" w:cs="Arial"/>
        </w:rPr>
        <w:t>98,42</w:t>
      </w:r>
      <w:r>
        <w:rPr>
          <w:rFonts w:ascii="Arial" w:hAnsi="Arial" w:cs="Arial"/>
        </w:rPr>
        <w:t xml:space="preserve">%, u istom izvještajnom razdoblju prethodne godine prihodi od pristojbi ostvareni su u iznosu od </w:t>
      </w:r>
      <w:r w:rsidR="002A5193">
        <w:rPr>
          <w:rFonts w:ascii="Arial" w:hAnsi="Arial" w:cs="Arial"/>
        </w:rPr>
        <w:t>223.534,11</w:t>
      </w:r>
      <w:r w:rsidR="00D2287C" w:rsidRPr="00D2287C">
        <w:rPr>
          <w:rFonts w:ascii="Arial" w:hAnsi="Arial" w:cs="Arial"/>
        </w:rPr>
        <w:t xml:space="preserve"> </w:t>
      </w:r>
      <w:r w:rsidR="00266C93">
        <w:rPr>
          <w:rFonts w:ascii="Arial" w:hAnsi="Arial" w:cs="Arial"/>
        </w:rPr>
        <w:t>eur</w:t>
      </w:r>
      <w:r>
        <w:rPr>
          <w:rFonts w:ascii="Arial" w:hAnsi="Arial" w:cs="Arial"/>
        </w:rPr>
        <w:t xml:space="preserve"> ili </w:t>
      </w:r>
      <w:r w:rsidR="002A5193">
        <w:rPr>
          <w:rFonts w:ascii="Arial" w:hAnsi="Arial" w:cs="Arial"/>
        </w:rPr>
        <w:t>124,05</w:t>
      </w:r>
      <w:r>
        <w:rPr>
          <w:rFonts w:ascii="Arial" w:hAnsi="Arial" w:cs="Arial"/>
        </w:rPr>
        <w:t>%.</w:t>
      </w:r>
      <w:r w:rsidR="00396F3D">
        <w:rPr>
          <w:rFonts w:ascii="Arial" w:hAnsi="Arial" w:cs="Arial"/>
        </w:rPr>
        <w:t xml:space="preserve"> Kod većine navedenih prihoda bilježi se lagano povećanje</w:t>
      </w:r>
      <w:r w:rsidR="005B77DD">
        <w:rPr>
          <w:rFonts w:ascii="Arial" w:hAnsi="Arial" w:cs="Arial"/>
        </w:rPr>
        <w:t>.</w:t>
      </w:r>
    </w:p>
    <w:p w14:paraId="33094752" w14:textId="4A8CA2B4" w:rsidR="00FF3E4A" w:rsidRDefault="00FF3E4A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prodaje proizvoda i robe te pruženih usluga i prihodi od donacija planirani su u iznosu od </w:t>
      </w:r>
      <w:r w:rsidR="002A5193">
        <w:rPr>
          <w:rFonts w:ascii="Arial" w:hAnsi="Arial" w:cs="Arial"/>
        </w:rPr>
        <w:t>15.600,</w:t>
      </w:r>
      <w:r w:rsidR="00396F3D">
        <w:rPr>
          <w:rFonts w:ascii="Arial" w:hAnsi="Arial" w:cs="Arial"/>
        </w:rPr>
        <w:t>00</w:t>
      </w:r>
      <w:r w:rsidR="00266C93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a u izvještajnom razdoblju ostvareni su u iznosu od </w:t>
      </w:r>
      <w:r w:rsidR="002A5193">
        <w:rPr>
          <w:rFonts w:ascii="Arial" w:hAnsi="Arial" w:cs="Arial"/>
        </w:rPr>
        <w:t>15.291,82</w:t>
      </w:r>
      <w:r w:rsidR="00266C93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ili </w:t>
      </w:r>
      <w:r w:rsidR="002A5193">
        <w:rPr>
          <w:rFonts w:ascii="Arial" w:hAnsi="Arial" w:cs="Arial"/>
        </w:rPr>
        <w:t>98,02</w:t>
      </w:r>
      <w:r>
        <w:rPr>
          <w:rFonts w:ascii="Arial" w:hAnsi="Arial" w:cs="Arial"/>
        </w:rPr>
        <w:t xml:space="preserve">%, u istom izvještajnom razdoblju prethodne godine navedeni prihodi ostvareni su u iznosu od </w:t>
      </w:r>
      <w:r w:rsidR="002A5193">
        <w:rPr>
          <w:rFonts w:ascii="Arial" w:hAnsi="Arial" w:cs="Arial"/>
        </w:rPr>
        <w:t>27.203,07</w:t>
      </w:r>
      <w:r w:rsidR="00396F3D" w:rsidRPr="00396F3D">
        <w:rPr>
          <w:rFonts w:ascii="Arial" w:hAnsi="Arial" w:cs="Arial"/>
        </w:rPr>
        <w:t xml:space="preserve"> </w:t>
      </w:r>
      <w:r w:rsidR="00266C93">
        <w:rPr>
          <w:rFonts w:ascii="Arial" w:hAnsi="Arial" w:cs="Arial"/>
        </w:rPr>
        <w:t>eur</w:t>
      </w:r>
      <w:r w:rsidR="001D4A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ili </w:t>
      </w:r>
      <w:r w:rsidR="002A5193">
        <w:rPr>
          <w:rFonts w:ascii="Arial" w:hAnsi="Arial" w:cs="Arial"/>
        </w:rPr>
        <w:t>56,21</w:t>
      </w:r>
      <w:r>
        <w:rPr>
          <w:rFonts w:ascii="Arial" w:hAnsi="Arial" w:cs="Arial"/>
        </w:rPr>
        <w:t>%.</w:t>
      </w:r>
      <w:r w:rsidR="00396F3D">
        <w:rPr>
          <w:rFonts w:ascii="Arial" w:hAnsi="Arial" w:cs="Arial"/>
        </w:rPr>
        <w:t xml:space="preserve"> </w:t>
      </w:r>
      <w:r w:rsidR="002A5193">
        <w:rPr>
          <w:rFonts w:ascii="Arial" w:hAnsi="Arial" w:cs="Arial"/>
        </w:rPr>
        <w:t>U</w:t>
      </w:r>
      <w:r w:rsidR="00396F3D">
        <w:rPr>
          <w:rFonts w:ascii="Arial" w:hAnsi="Arial" w:cs="Arial"/>
        </w:rPr>
        <w:t xml:space="preserve"> izvještajnom razdoblju zabilježena je donacija pravne osobe </w:t>
      </w:r>
      <w:r w:rsidR="002A5193">
        <w:rPr>
          <w:rFonts w:ascii="Arial" w:hAnsi="Arial" w:cs="Arial"/>
        </w:rPr>
        <w:t>Cromaris d.d.</w:t>
      </w:r>
      <w:r w:rsidR="00396F3D">
        <w:rPr>
          <w:rFonts w:ascii="Arial" w:hAnsi="Arial" w:cs="Arial"/>
        </w:rPr>
        <w:t xml:space="preserve"> za </w:t>
      </w:r>
      <w:r w:rsidR="002A5193">
        <w:rPr>
          <w:rFonts w:ascii="Arial" w:hAnsi="Arial" w:cs="Arial"/>
        </w:rPr>
        <w:t>igralište Kušnjak</w:t>
      </w:r>
      <w:r w:rsidR="00396F3D">
        <w:rPr>
          <w:rFonts w:ascii="Arial" w:hAnsi="Arial" w:cs="Arial"/>
        </w:rPr>
        <w:t>.</w:t>
      </w:r>
    </w:p>
    <w:p w14:paraId="0601F201" w14:textId="491FD281" w:rsidR="00FF3E4A" w:rsidRDefault="00FF3E4A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kazni </w:t>
      </w:r>
      <w:r w:rsidR="00E30008">
        <w:rPr>
          <w:rFonts w:ascii="Arial" w:hAnsi="Arial" w:cs="Arial"/>
        </w:rPr>
        <w:t xml:space="preserve">i ostali prihodi </w:t>
      </w:r>
      <w:r>
        <w:rPr>
          <w:rFonts w:ascii="Arial" w:hAnsi="Arial" w:cs="Arial"/>
        </w:rPr>
        <w:t xml:space="preserve">planirani su u iznosu od </w:t>
      </w:r>
      <w:r w:rsidR="00A630DD">
        <w:rPr>
          <w:rFonts w:ascii="Arial" w:hAnsi="Arial" w:cs="Arial"/>
        </w:rPr>
        <w:t>1.133.020,76</w:t>
      </w:r>
      <w:r w:rsidR="00266C93">
        <w:rPr>
          <w:rFonts w:ascii="Arial" w:hAnsi="Arial" w:cs="Arial"/>
        </w:rPr>
        <w:t xml:space="preserve"> eur</w:t>
      </w:r>
      <w:r w:rsidR="008A3994">
        <w:rPr>
          <w:rFonts w:ascii="Arial" w:hAnsi="Arial" w:cs="Arial"/>
        </w:rPr>
        <w:t>,</w:t>
      </w:r>
      <w:r w:rsidR="00E30008">
        <w:rPr>
          <w:rFonts w:ascii="Arial" w:hAnsi="Arial" w:cs="Arial"/>
        </w:rPr>
        <w:t xml:space="preserve"> </w:t>
      </w:r>
      <w:r w:rsidR="00E30008" w:rsidRPr="00E30008">
        <w:rPr>
          <w:rFonts w:ascii="Arial" w:hAnsi="Arial" w:cs="Arial"/>
        </w:rPr>
        <w:t xml:space="preserve">u izvještajnom razdoblju </w:t>
      </w:r>
      <w:r w:rsidR="005D52A5">
        <w:rPr>
          <w:rFonts w:ascii="Arial" w:hAnsi="Arial" w:cs="Arial"/>
        </w:rPr>
        <w:t xml:space="preserve">ostvareni su u iznosu od </w:t>
      </w:r>
      <w:r w:rsidR="00A630DD">
        <w:rPr>
          <w:rFonts w:ascii="Arial" w:hAnsi="Arial" w:cs="Arial"/>
        </w:rPr>
        <w:t>209,80</w:t>
      </w:r>
      <w:r w:rsidR="00396F3D">
        <w:rPr>
          <w:rFonts w:ascii="Arial" w:hAnsi="Arial" w:cs="Arial"/>
        </w:rPr>
        <w:t xml:space="preserve"> </w:t>
      </w:r>
      <w:r w:rsidR="005D52A5">
        <w:rPr>
          <w:rFonts w:ascii="Arial" w:hAnsi="Arial" w:cs="Arial"/>
        </w:rPr>
        <w:t>eur ili 0,0</w:t>
      </w:r>
      <w:r w:rsidR="00A630DD">
        <w:rPr>
          <w:rFonts w:ascii="Arial" w:hAnsi="Arial" w:cs="Arial"/>
        </w:rPr>
        <w:t>2</w:t>
      </w:r>
      <w:r w:rsidR="005D52A5">
        <w:rPr>
          <w:rFonts w:ascii="Arial" w:hAnsi="Arial" w:cs="Arial"/>
        </w:rPr>
        <w:t>%</w:t>
      </w:r>
      <w:r w:rsidR="008A3994">
        <w:rPr>
          <w:rFonts w:ascii="Arial" w:hAnsi="Arial" w:cs="Arial"/>
        </w:rPr>
        <w:t xml:space="preserve"> a u istom izvještajnom razdoblju pretho</w:t>
      </w:r>
      <w:r w:rsidR="00FD12DB">
        <w:rPr>
          <w:rFonts w:ascii="Arial" w:hAnsi="Arial" w:cs="Arial"/>
        </w:rPr>
        <w:t>d</w:t>
      </w:r>
      <w:r w:rsidR="008A3994">
        <w:rPr>
          <w:rFonts w:ascii="Arial" w:hAnsi="Arial" w:cs="Arial"/>
        </w:rPr>
        <w:t>e godine prihodi od kazni i ostali prihodi</w:t>
      </w:r>
      <w:r w:rsidR="005D52A5">
        <w:rPr>
          <w:rFonts w:ascii="Arial" w:hAnsi="Arial" w:cs="Arial"/>
        </w:rPr>
        <w:t xml:space="preserve"> ostvareni</w:t>
      </w:r>
      <w:r w:rsidR="00396F3D">
        <w:rPr>
          <w:rFonts w:ascii="Arial" w:hAnsi="Arial" w:cs="Arial"/>
        </w:rPr>
        <w:t xml:space="preserve"> su u iznosu od</w:t>
      </w:r>
      <w:r w:rsidR="00396F3D" w:rsidRPr="00396F3D">
        <w:t xml:space="preserve"> </w:t>
      </w:r>
      <w:r w:rsidR="00A630DD">
        <w:rPr>
          <w:rFonts w:ascii="Arial" w:hAnsi="Arial" w:cs="Arial"/>
        </w:rPr>
        <w:t>242,51</w:t>
      </w:r>
      <w:r w:rsidR="00396F3D" w:rsidRPr="00396F3D">
        <w:rPr>
          <w:rFonts w:ascii="Arial" w:hAnsi="Arial" w:cs="Arial"/>
        </w:rPr>
        <w:t xml:space="preserve"> eur</w:t>
      </w:r>
      <w:r w:rsidR="00396F3D">
        <w:rPr>
          <w:rFonts w:ascii="Arial" w:hAnsi="Arial" w:cs="Arial"/>
        </w:rPr>
        <w:t xml:space="preserve"> ili </w:t>
      </w:r>
      <w:r w:rsidR="00A630DD">
        <w:rPr>
          <w:rFonts w:ascii="Arial" w:hAnsi="Arial" w:cs="Arial"/>
        </w:rPr>
        <w:t>86,51</w:t>
      </w:r>
      <w:r w:rsidR="00396F3D">
        <w:rPr>
          <w:rFonts w:ascii="Arial" w:hAnsi="Arial" w:cs="Arial"/>
        </w:rPr>
        <w:t>%.</w:t>
      </w:r>
    </w:p>
    <w:p w14:paraId="13ADC258" w14:textId="6267D677" w:rsidR="00C743D9" w:rsidRDefault="00C743D9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prodaje nefinancijske imovine</w:t>
      </w:r>
      <w:r w:rsidR="00FD12DB">
        <w:rPr>
          <w:rFonts w:ascii="Arial" w:hAnsi="Arial" w:cs="Arial"/>
        </w:rPr>
        <w:t xml:space="preserve"> </w:t>
      </w:r>
      <w:r w:rsidR="00A630DD">
        <w:rPr>
          <w:rFonts w:ascii="Arial" w:hAnsi="Arial" w:cs="Arial"/>
        </w:rPr>
        <w:t xml:space="preserve">nisu </w:t>
      </w:r>
      <w:r w:rsidR="00FD12DB">
        <w:rPr>
          <w:rFonts w:ascii="Arial" w:hAnsi="Arial" w:cs="Arial"/>
        </w:rPr>
        <w:t xml:space="preserve">planirani </w:t>
      </w:r>
      <w:r w:rsidR="00A630DD">
        <w:rPr>
          <w:rFonts w:ascii="Arial" w:hAnsi="Arial" w:cs="Arial"/>
        </w:rPr>
        <w:t xml:space="preserve">ni izvršeni </w:t>
      </w:r>
      <w:r w:rsidR="00FD12DB">
        <w:rPr>
          <w:rFonts w:ascii="Arial" w:hAnsi="Arial" w:cs="Arial"/>
        </w:rPr>
        <w:t>u izvještajnom razdoblju</w:t>
      </w:r>
      <w:r>
        <w:rPr>
          <w:rFonts w:ascii="Arial" w:hAnsi="Arial" w:cs="Arial"/>
        </w:rPr>
        <w:t xml:space="preserve">, </w:t>
      </w:r>
      <w:r w:rsidR="005D52A5">
        <w:rPr>
          <w:rFonts w:ascii="Arial" w:hAnsi="Arial" w:cs="Arial"/>
        </w:rPr>
        <w:t xml:space="preserve">dok </w:t>
      </w:r>
      <w:r w:rsidR="00A630DD">
        <w:rPr>
          <w:rFonts w:ascii="Arial" w:hAnsi="Arial" w:cs="Arial"/>
        </w:rPr>
        <w:t xml:space="preserve">su </w:t>
      </w:r>
      <w:r w:rsidR="00712A07" w:rsidRPr="00712A07">
        <w:rPr>
          <w:rFonts w:ascii="Arial" w:hAnsi="Arial" w:cs="Arial"/>
        </w:rPr>
        <w:t>u istom izvještajnom razdoblju prethodne godi</w:t>
      </w:r>
      <w:r w:rsidR="005D52A5">
        <w:rPr>
          <w:rFonts w:ascii="Arial" w:hAnsi="Arial" w:cs="Arial"/>
        </w:rPr>
        <w:t>ne navedeni prihodi ostvareni</w:t>
      </w:r>
      <w:r w:rsidR="00A630DD">
        <w:rPr>
          <w:rFonts w:ascii="Arial" w:hAnsi="Arial" w:cs="Arial"/>
        </w:rPr>
        <w:t xml:space="preserve"> u iznosu od 1.307,50 eur</w:t>
      </w:r>
      <w:r w:rsidR="005D52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1CDDAAE" w14:textId="2BAC0209" w:rsidR="00816590" w:rsidRDefault="00816590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Primici od zaduživanja </w:t>
      </w:r>
      <w:r w:rsidR="00453E7D">
        <w:rPr>
          <w:rFonts w:ascii="Arial" w:hAnsi="Arial" w:cs="Arial"/>
        </w:rPr>
        <w:t xml:space="preserve"> planirani su u iznosu od 40.000,00 a u izvještajnom razdoblju ostvareni su u iznosu od 84.999,98 eur ili 212,50%</w:t>
      </w:r>
      <w:r w:rsidR="00EB271C">
        <w:rPr>
          <w:rFonts w:ascii="Arial" w:hAnsi="Arial" w:cs="Arial"/>
        </w:rPr>
        <w:t xml:space="preserve">, dok </w:t>
      </w:r>
      <w:r w:rsidR="00453E7D">
        <w:rPr>
          <w:rFonts w:ascii="Arial" w:hAnsi="Arial" w:cs="Arial"/>
        </w:rPr>
        <w:t>u</w:t>
      </w:r>
      <w:r w:rsidR="00EB271C">
        <w:rPr>
          <w:rFonts w:ascii="Arial" w:hAnsi="Arial" w:cs="Arial"/>
        </w:rPr>
        <w:t xml:space="preserve"> istom izvještajnom razdoblju prethodne godine </w:t>
      </w:r>
      <w:r w:rsidR="00453E7D">
        <w:rPr>
          <w:rFonts w:ascii="Arial" w:hAnsi="Arial" w:cs="Arial"/>
        </w:rPr>
        <w:t xml:space="preserve">nisu </w:t>
      </w:r>
      <w:r w:rsidR="00EB271C">
        <w:rPr>
          <w:rFonts w:ascii="Arial" w:hAnsi="Arial" w:cs="Arial"/>
        </w:rPr>
        <w:t>ostvareni</w:t>
      </w:r>
      <w:r w:rsidR="00FD12DB">
        <w:rPr>
          <w:rFonts w:ascii="Arial" w:hAnsi="Arial" w:cs="Arial"/>
        </w:rPr>
        <w:t>.</w:t>
      </w:r>
      <w:r w:rsidR="00453E7D">
        <w:rPr>
          <w:rFonts w:ascii="Arial" w:hAnsi="Arial" w:cs="Arial"/>
        </w:rPr>
        <w:t xml:space="preserve"> Navedeni primici izvršeni su u većem iznosu od planiranog iz razloga što ministarstvo nije uplatilo odobrena financijska sredstva za projekt „Igra</w:t>
      </w:r>
      <w:r w:rsidR="005A4E72">
        <w:rPr>
          <w:rFonts w:ascii="Arial" w:hAnsi="Arial" w:cs="Arial"/>
        </w:rPr>
        <w:t xml:space="preserve">lište Kušnjak“ te je stoga općina Tkon </w:t>
      </w:r>
      <w:r w:rsidR="007B30E4">
        <w:rPr>
          <w:rFonts w:ascii="Arial" w:hAnsi="Arial" w:cs="Arial"/>
        </w:rPr>
        <w:t>09</w:t>
      </w:r>
      <w:r w:rsidR="005A4E72">
        <w:rPr>
          <w:rFonts w:ascii="Arial" w:hAnsi="Arial" w:cs="Arial"/>
        </w:rPr>
        <w:t>.12.</w:t>
      </w:r>
      <w:r w:rsidR="007B30E4">
        <w:rPr>
          <w:rFonts w:ascii="Arial" w:hAnsi="Arial" w:cs="Arial"/>
        </w:rPr>
        <w:t>2025. godine</w:t>
      </w:r>
      <w:r w:rsidR="005A4E72">
        <w:rPr>
          <w:rFonts w:ascii="Arial" w:hAnsi="Arial" w:cs="Arial"/>
        </w:rPr>
        <w:t xml:space="preserve"> sklopila ugovor o pozajmici i podmirila projekt, kako bi isti pravdala. Sredstva su uplaćena u 2026 godini.</w:t>
      </w:r>
    </w:p>
    <w:p w14:paraId="0C05635E" w14:textId="2C538B14" w:rsidR="00AB2034" w:rsidRDefault="00AB2034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rashodi </w:t>
      </w:r>
      <w:r w:rsidR="00EB31D5">
        <w:rPr>
          <w:rFonts w:ascii="Arial" w:hAnsi="Arial" w:cs="Arial"/>
        </w:rPr>
        <w:t xml:space="preserve">i izdaci </w:t>
      </w:r>
      <w:r>
        <w:rPr>
          <w:rFonts w:ascii="Arial" w:hAnsi="Arial" w:cs="Arial"/>
        </w:rPr>
        <w:t xml:space="preserve">proračuna </w:t>
      </w:r>
      <w:r w:rsidR="00AE5A2B" w:rsidRPr="00AE5A2B">
        <w:rPr>
          <w:rFonts w:ascii="Arial" w:hAnsi="Arial" w:cs="Arial"/>
        </w:rPr>
        <w:t xml:space="preserve">za </w:t>
      </w:r>
      <w:r w:rsidR="00E91EB3">
        <w:rPr>
          <w:rFonts w:ascii="Arial" w:hAnsi="Arial" w:cs="Arial"/>
        </w:rPr>
        <w:t xml:space="preserve">izvještajno </w:t>
      </w:r>
      <w:r w:rsidR="00AE5A2B" w:rsidRPr="00AE5A2B">
        <w:rPr>
          <w:rFonts w:ascii="Arial" w:hAnsi="Arial" w:cs="Arial"/>
        </w:rPr>
        <w:t xml:space="preserve">razdoblje </w:t>
      </w:r>
      <w:r w:rsidR="00E91EB3">
        <w:rPr>
          <w:rFonts w:ascii="Arial" w:hAnsi="Arial" w:cs="Arial"/>
        </w:rPr>
        <w:t xml:space="preserve">od </w:t>
      </w:r>
      <w:r w:rsidR="00AE5A2B" w:rsidRPr="00AE5A2B">
        <w:rPr>
          <w:rFonts w:ascii="Arial" w:hAnsi="Arial" w:cs="Arial"/>
        </w:rPr>
        <w:t>01.01. do 3</w:t>
      </w:r>
      <w:r w:rsidR="00B46A31">
        <w:rPr>
          <w:rFonts w:ascii="Arial" w:hAnsi="Arial" w:cs="Arial"/>
        </w:rPr>
        <w:t>1</w:t>
      </w:r>
      <w:r w:rsidR="00AE5A2B" w:rsidRPr="00AE5A2B">
        <w:rPr>
          <w:rFonts w:ascii="Arial" w:hAnsi="Arial" w:cs="Arial"/>
        </w:rPr>
        <w:t>.</w:t>
      </w:r>
      <w:r w:rsidR="00B46A31">
        <w:rPr>
          <w:rFonts w:ascii="Arial" w:hAnsi="Arial" w:cs="Arial"/>
        </w:rPr>
        <w:t>12</w:t>
      </w:r>
      <w:r w:rsidR="00AE5A2B" w:rsidRPr="00AE5A2B">
        <w:rPr>
          <w:rFonts w:ascii="Arial" w:hAnsi="Arial" w:cs="Arial"/>
        </w:rPr>
        <w:t>.20</w:t>
      </w:r>
      <w:r w:rsidR="00F34B6D">
        <w:rPr>
          <w:rFonts w:ascii="Arial" w:hAnsi="Arial" w:cs="Arial"/>
        </w:rPr>
        <w:t>2</w:t>
      </w:r>
      <w:r w:rsidR="00EB10FD">
        <w:rPr>
          <w:rFonts w:ascii="Arial" w:hAnsi="Arial" w:cs="Arial"/>
        </w:rPr>
        <w:t>5</w:t>
      </w:r>
      <w:r w:rsidR="00AE5A2B" w:rsidRPr="00AE5A2B">
        <w:rPr>
          <w:rFonts w:ascii="Arial" w:hAnsi="Arial" w:cs="Arial"/>
        </w:rPr>
        <w:t xml:space="preserve">. godine </w:t>
      </w:r>
      <w:r w:rsidR="00C9359C">
        <w:rPr>
          <w:rFonts w:ascii="Arial" w:hAnsi="Arial" w:cs="Arial"/>
        </w:rPr>
        <w:t xml:space="preserve">iznose </w:t>
      </w:r>
      <w:r w:rsidR="007F6758">
        <w:rPr>
          <w:rFonts w:ascii="Arial" w:hAnsi="Arial" w:cs="Arial"/>
          <w:b/>
        </w:rPr>
        <w:t>2.007.070,11</w:t>
      </w:r>
      <w:r w:rsidR="005D52A5">
        <w:rPr>
          <w:rFonts w:ascii="Arial" w:hAnsi="Arial" w:cs="Arial"/>
          <w:b/>
        </w:rPr>
        <w:t>eur</w:t>
      </w:r>
      <w:r>
        <w:rPr>
          <w:rFonts w:ascii="Arial" w:hAnsi="Arial" w:cs="Arial"/>
        </w:rPr>
        <w:t>. Od t</w:t>
      </w:r>
      <w:r w:rsidR="00C9359C">
        <w:rPr>
          <w:rFonts w:ascii="Arial" w:hAnsi="Arial" w:cs="Arial"/>
        </w:rPr>
        <w:t xml:space="preserve">oga rashodi poslovanja iznose </w:t>
      </w:r>
      <w:r w:rsidR="007F6758">
        <w:rPr>
          <w:rFonts w:ascii="Arial" w:hAnsi="Arial" w:cs="Arial"/>
        </w:rPr>
        <w:t>933.250,50</w:t>
      </w:r>
      <w:r w:rsidR="005D52A5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rashodi za nabavu nefinancijske imovine iznose </w:t>
      </w:r>
      <w:r w:rsidR="007F6758">
        <w:rPr>
          <w:rFonts w:ascii="Arial" w:hAnsi="Arial" w:cs="Arial"/>
        </w:rPr>
        <w:t>1.030.704,34</w:t>
      </w:r>
      <w:r w:rsidR="005D52A5">
        <w:rPr>
          <w:rFonts w:ascii="Arial" w:hAnsi="Arial" w:cs="Arial"/>
        </w:rPr>
        <w:t xml:space="preserve"> eur</w:t>
      </w:r>
      <w:r w:rsidR="00EB31D5">
        <w:rPr>
          <w:rFonts w:ascii="Arial" w:hAnsi="Arial" w:cs="Arial"/>
        </w:rPr>
        <w:t xml:space="preserve"> te izdaci </w:t>
      </w:r>
      <w:r w:rsidR="005148AD">
        <w:rPr>
          <w:rFonts w:ascii="Arial" w:hAnsi="Arial" w:cs="Arial"/>
        </w:rPr>
        <w:t xml:space="preserve">za financijsku imovinu i otplate zajmova iznose </w:t>
      </w:r>
      <w:r w:rsidR="007F6758">
        <w:rPr>
          <w:rFonts w:ascii="Arial" w:hAnsi="Arial" w:cs="Arial"/>
        </w:rPr>
        <w:t>43.115,27</w:t>
      </w:r>
      <w:r w:rsidR="005D52A5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>.</w:t>
      </w:r>
    </w:p>
    <w:p w14:paraId="45C1C5DE" w14:textId="02032674" w:rsidR="00C9359C" w:rsidRDefault="00C9359C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Rashodi poslovanja planirani</w:t>
      </w:r>
      <w:r w:rsidR="005148AD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u iznosu od </w:t>
      </w:r>
      <w:r w:rsidR="00EB10FD">
        <w:rPr>
          <w:rFonts w:ascii="Arial" w:hAnsi="Arial" w:cs="Arial"/>
        </w:rPr>
        <w:t>1.016.204,00</w:t>
      </w:r>
      <w:r w:rsidR="00180558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a ostvareni su u iznosu od </w:t>
      </w:r>
      <w:r w:rsidR="00EB10FD">
        <w:rPr>
          <w:rFonts w:ascii="Arial" w:hAnsi="Arial" w:cs="Arial"/>
        </w:rPr>
        <w:t>933.250,50</w:t>
      </w:r>
      <w:r w:rsidR="00180558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</w:t>
      </w:r>
      <w:r w:rsidR="005148AD">
        <w:rPr>
          <w:rFonts w:ascii="Arial" w:hAnsi="Arial" w:cs="Arial"/>
        </w:rPr>
        <w:t>odnosno</w:t>
      </w:r>
      <w:r>
        <w:rPr>
          <w:rFonts w:ascii="Arial" w:hAnsi="Arial" w:cs="Arial"/>
        </w:rPr>
        <w:t xml:space="preserve"> </w:t>
      </w:r>
      <w:r w:rsidR="00EB10FD">
        <w:rPr>
          <w:rFonts w:ascii="Arial" w:hAnsi="Arial" w:cs="Arial"/>
        </w:rPr>
        <w:t>91,84</w:t>
      </w:r>
      <w:r w:rsidR="005148AD">
        <w:rPr>
          <w:rFonts w:ascii="Arial" w:hAnsi="Arial" w:cs="Arial"/>
        </w:rPr>
        <w:t>%</w:t>
      </w:r>
      <w:r w:rsidR="00AE5A2B">
        <w:rPr>
          <w:rFonts w:ascii="Arial" w:hAnsi="Arial" w:cs="Arial"/>
        </w:rPr>
        <w:t xml:space="preserve">, u istom izvještajnom razdoblju prethodne godine navedeni </w:t>
      </w:r>
      <w:r w:rsidR="00AE5A2B">
        <w:rPr>
          <w:rFonts w:ascii="Arial" w:hAnsi="Arial" w:cs="Arial"/>
        </w:rPr>
        <w:lastRenderedPageBreak/>
        <w:t xml:space="preserve">rashodi izvršeni su u iznosu od </w:t>
      </w:r>
      <w:r w:rsidR="00EB10FD">
        <w:rPr>
          <w:rFonts w:ascii="Arial" w:hAnsi="Arial" w:cs="Arial"/>
        </w:rPr>
        <w:t xml:space="preserve">813.689,52 </w:t>
      </w:r>
      <w:r w:rsidR="00180558">
        <w:rPr>
          <w:rFonts w:ascii="Arial" w:hAnsi="Arial" w:cs="Arial"/>
        </w:rPr>
        <w:t>eur</w:t>
      </w:r>
      <w:r w:rsidR="00AE5A2B">
        <w:rPr>
          <w:rFonts w:ascii="Arial" w:hAnsi="Arial" w:cs="Arial"/>
        </w:rPr>
        <w:t xml:space="preserve"> ili </w:t>
      </w:r>
      <w:r w:rsidR="000614A6">
        <w:rPr>
          <w:rFonts w:ascii="Arial" w:hAnsi="Arial" w:cs="Arial"/>
        </w:rPr>
        <w:t>11</w:t>
      </w:r>
      <w:r w:rsidR="00EB10FD">
        <w:rPr>
          <w:rFonts w:ascii="Arial" w:hAnsi="Arial" w:cs="Arial"/>
        </w:rPr>
        <w:t>4</w:t>
      </w:r>
      <w:r w:rsidR="000614A6">
        <w:rPr>
          <w:rFonts w:ascii="Arial" w:hAnsi="Arial" w:cs="Arial"/>
        </w:rPr>
        <w:t>,6</w:t>
      </w:r>
      <w:r w:rsidR="00EB10FD">
        <w:rPr>
          <w:rFonts w:ascii="Arial" w:hAnsi="Arial" w:cs="Arial"/>
        </w:rPr>
        <w:t>9</w:t>
      </w:r>
      <w:r w:rsidR="00AE5A2B">
        <w:rPr>
          <w:rFonts w:ascii="Arial" w:hAnsi="Arial" w:cs="Arial"/>
        </w:rPr>
        <w:t>%</w:t>
      </w:r>
      <w:r w:rsidR="00180558">
        <w:rPr>
          <w:rFonts w:ascii="Arial" w:hAnsi="Arial" w:cs="Arial"/>
        </w:rPr>
        <w:t>, a što je najvećim dijelom posljedica pove</w:t>
      </w:r>
      <w:r w:rsidR="00B46A31">
        <w:rPr>
          <w:rFonts w:ascii="Arial" w:hAnsi="Arial" w:cs="Arial"/>
        </w:rPr>
        <w:t>ć</w:t>
      </w:r>
      <w:r w:rsidR="00180558">
        <w:rPr>
          <w:rFonts w:ascii="Arial" w:hAnsi="Arial" w:cs="Arial"/>
        </w:rPr>
        <w:t>anja cijena na tržištu</w:t>
      </w:r>
      <w:r w:rsidR="003D6EB6">
        <w:rPr>
          <w:rFonts w:ascii="Arial" w:hAnsi="Arial" w:cs="Arial"/>
        </w:rPr>
        <w:t>.</w:t>
      </w:r>
    </w:p>
    <w:p w14:paraId="35D0C2BF" w14:textId="73483EA3" w:rsidR="00C9359C" w:rsidRDefault="00C9359C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planirani su </w:t>
      </w:r>
      <w:r w:rsidR="00B172D2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iznosu od </w:t>
      </w:r>
      <w:r w:rsidR="00EB10FD">
        <w:rPr>
          <w:rFonts w:ascii="Arial" w:hAnsi="Arial" w:cs="Arial"/>
        </w:rPr>
        <w:t>1.811.205,00</w:t>
      </w:r>
      <w:r w:rsidR="00180558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a ostvareni su u iznosu </w:t>
      </w:r>
      <w:r w:rsidR="004F376E">
        <w:rPr>
          <w:rFonts w:ascii="Arial" w:hAnsi="Arial" w:cs="Arial"/>
        </w:rPr>
        <w:t xml:space="preserve">od </w:t>
      </w:r>
      <w:r w:rsidR="00EB10FD">
        <w:rPr>
          <w:rFonts w:ascii="Arial" w:hAnsi="Arial" w:cs="Arial"/>
        </w:rPr>
        <w:t>1.030.704,34</w:t>
      </w:r>
      <w:r w:rsidR="00180558">
        <w:rPr>
          <w:rFonts w:ascii="Arial" w:hAnsi="Arial" w:cs="Arial"/>
        </w:rPr>
        <w:t xml:space="preserve"> eur</w:t>
      </w:r>
      <w:r w:rsidR="004F376E">
        <w:rPr>
          <w:rFonts w:ascii="Arial" w:hAnsi="Arial" w:cs="Arial"/>
        </w:rPr>
        <w:t xml:space="preserve">, odnosno </w:t>
      </w:r>
      <w:r w:rsidR="00EB10FD">
        <w:rPr>
          <w:rFonts w:ascii="Arial" w:hAnsi="Arial" w:cs="Arial"/>
        </w:rPr>
        <w:t>56,91</w:t>
      </w:r>
      <w:r w:rsidR="005148AD">
        <w:rPr>
          <w:rFonts w:ascii="Arial" w:hAnsi="Arial" w:cs="Arial"/>
        </w:rPr>
        <w:t>%</w:t>
      </w:r>
      <w:r w:rsidR="00AE5A2B">
        <w:rPr>
          <w:rFonts w:ascii="Arial" w:hAnsi="Arial" w:cs="Arial"/>
        </w:rPr>
        <w:t xml:space="preserve">, u istom izvještajnom razdoblju prethodne godine navedeni rashodi izvršeni su u iznosu od </w:t>
      </w:r>
      <w:r w:rsidR="00EB10FD">
        <w:rPr>
          <w:rFonts w:ascii="Arial" w:hAnsi="Arial" w:cs="Arial"/>
        </w:rPr>
        <w:t>730.282,00</w:t>
      </w:r>
      <w:r w:rsidR="003D6EB6" w:rsidRPr="003D6EB6">
        <w:rPr>
          <w:rFonts w:ascii="Arial" w:hAnsi="Arial" w:cs="Arial"/>
        </w:rPr>
        <w:t xml:space="preserve"> </w:t>
      </w:r>
      <w:r w:rsidR="00180558">
        <w:rPr>
          <w:rFonts w:ascii="Arial" w:hAnsi="Arial" w:cs="Arial"/>
        </w:rPr>
        <w:t>eur</w:t>
      </w:r>
      <w:r w:rsidR="001D4A52">
        <w:rPr>
          <w:rFonts w:ascii="Arial" w:hAnsi="Arial" w:cs="Arial"/>
        </w:rPr>
        <w:t xml:space="preserve"> </w:t>
      </w:r>
      <w:r w:rsidR="00AE5A2B">
        <w:rPr>
          <w:rFonts w:ascii="Arial" w:hAnsi="Arial" w:cs="Arial"/>
        </w:rPr>
        <w:t xml:space="preserve">ili </w:t>
      </w:r>
      <w:r w:rsidR="00EB10FD">
        <w:rPr>
          <w:rFonts w:ascii="Arial" w:hAnsi="Arial" w:cs="Arial"/>
        </w:rPr>
        <w:t>141,14</w:t>
      </w:r>
      <w:r w:rsidR="001676E8">
        <w:rPr>
          <w:rFonts w:ascii="Arial" w:hAnsi="Arial" w:cs="Arial"/>
        </w:rPr>
        <w:t xml:space="preserve">%, a odnose </w:t>
      </w:r>
      <w:r w:rsidR="00180558">
        <w:rPr>
          <w:rFonts w:ascii="Arial" w:hAnsi="Arial" w:cs="Arial"/>
        </w:rPr>
        <w:t xml:space="preserve">se </w:t>
      </w:r>
      <w:r w:rsidR="001676E8">
        <w:rPr>
          <w:rFonts w:ascii="Arial" w:hAnsi="Arial" w:cs="Arial"/>
        </w:rPr>
        <w:t xml:space="preserve">na </w:t>
      </w:r>
      <w:r w:rsidR="00180558">
        <w:rPr>
          <w:rFonts w:ascii="Arial" w:hAnsi="Arial" w:cs="Arial"/>
        </w:rPr>
        <w:t xml:space="preserve"> projekte</w:t>
      </w:r>
      <w:r w:rsidR="001676E8">
        <w:rPr>
          <w:rFonts w:ascii="Arial" w:hAnsi="Arial" w:cs="Arial"/>
        </w:rPr>
        <w:t>:</w:t>
      </w:r>
      <w:r w:rsidR="003D6EB6">
        <w:rPr>
          <w:rFonts w:ascii="Arial" w:hAnsi="Arial" w:cs="Arial"/>
        </w:rPr>
        <w:t xml:space="preserve">Društveni dom Kuntrata, </w:t>
      </w:r>
      <w:r w:rsidR="001676E8">
        <w:rPr>
          <w:rFonts w:ascii="Arial" w:hAnsi="Arial" w:cs="Arial"/>
        </w:rPr>
        <w:t>Nerazvrstane ceste,</w:t>
      </w:r>
      <w:r w:rsidR="00AD50B9">
        <w:rPr>
          <w:rFonts w:ascii="Arial" w:hAnsi="Arial" w:cs="Arial"/>
        </w:rPr>
        <w:t xml:space="preserve"> </w:t>
      </w:r>
      <w:r w:rsidR="003D6EB6">
        <w:rPr>
          <w:rFonts w:ascii="Arial" w:hAnsi="Arial" w:cs="Arial"/>
        </w:rPr>
        <w:t>Dječje igralište u Ugriniću,</w:t>
      </w:r>
      <w:r w:rsidR="00F611F7">
        <w:rPr>
          <w:rFonts w:ascii="Arial" w:hAnsi="Arial" w:cs="Arial"/>
        </w:rPr>
        <w:t xml:space="preserve"> </w:t>
      </w:r>
      <w:r w:rsidR="00194C57">
        <w:rPr>
          <w:rFonts w:ascii="Arial" w:hAnsi="Arial" w:cs="Arial"/>
        </w:rPr>
        <w:t>Plaž</w:t>
      </w:r>
      <w:r w:rsidR="00AD50B9">
        <w:rPr>
          <w:rFonts w:ascii="Arial" w:hAnsi="Arial" w:cs="Arial"/>
        </w:rPr>
        <w:t>a</w:t>
      </w:r>
      <w:r w:rsidR="00194C57">
        <w:rPr>
          <w:rFonts w:ascii="Arial" w:hAnsi="Arial" w:cs="Arial"/>
        </w:rPr>
        <w:t xml:space="preserve"> </w:t>
      </w:r>
      <w:r w:rsidR="00F611F7">
        <w:rPr>
          <w:rFonts w:ascii="Arial" w:hAnsi="Arial" w:cs="Arial"/>
        </w:rPr>
        <w:t>Vruljice</w:t>
      </w:r>
      <w:r w:rsidR="00194C57">
        <w:rPr>
          <w:rFonts w:ascii="Arial" w:hAnsi="Arial" w:cs="Arial"/>
        </w:rPr>
        <w:t>,</w:t>
      </w:r>
      <w:r w:rsidR="001676E8">
        <w:rPr>
          <w:rFonts w:ascii="Arial" w:hAnsi="Arial" w:cs="Arial"/>
        </w:rPr>
        <w:t xml:space="preserve"> Javno prometne površine, </w:t>
      </w:r>
      <w:r w:rsidR="00F611F7">
        <w:rPr>
          <w:rFonts w:ascii="Arial" w:hAnsi="Arial" w:cs="Arial"/>
        </w:rPr>
        <w:t>Trgove Općine Tkon, Zvonik crkve sv. Tome Apostola,</w:t>
      </w:r>
      <w:r w:rsidR="00AD50B9">
        <w:rPr>
          <w:rFonts w:ascii="Arial" w:hAnsi="Arial" w:cs="Arial"/>
        </w:rPr>
        <w:t xml:space="preserve"> Dječje igralište Kušnjak, Vidikovac Straža, Šetnica Ugrinić, </w:t>
      </w:r>
      <w:r w:rsidR="00F611F7">
        <w:rPr>
          <w:rFonts w:ascii="Arial" w:hAnsi="Arial" w:cs="Arial"/>
        </w:rPr>
        <w:t>povećanje računalnih programa, izradu prostorno planske dokumentacije i projektne dokumentacije za plaž</w:t>
      </w:r>
      <w:r w:rsidR="00AD50B9">
        <w:rPr>
          <w:rFonts w:ascii="Arial" w:hAnsi="Arial" w:cs="Arial"/>
        </w:rPr>
        <w:t>u</w:t>
      </w:r>
      <w:r w:rsidR="00F611F7">
        <w:rPr>
          <w:rFonts w:ascii="Arial" w:hAnsi="Arial" w:cs="Arial"/>
        </w:rPr>
        <w:t xml:space="preserve"> Vruljice</w:t>
      </w:r>
      <w:r w:rsidR="00AD50B9">
        <w:rPr>
          <w:rFonts w:ascii="Arial" w:hAnsi="Arial" w:cs="Arial"/>
        </w:rPr>
        <w:t xml:space="preserve">, </w:t>
      </w:r>
      <w:r w:rsidR="00F611F7">
        <w:rPr>
          <w:rFonts w:ascii="Arial" w:hAnsi="Arial" w:cs="Arial"/>
        </w:rPr>
        <w:t xml:space="preserve">Rivu Mulina, Trgove,  </w:t>
      </w:r>
      <w:r w:rsidR="00AD50B9">
        <w:rPr>
          <w:rFonts w:ascii="Arial" w:hAnsi="Arial" w:cs="Arial"/>
        </w:rPr>
        <w:t>Pl</w:t>
      </w:r>
      <w:r w:rsidR="00F611F7">
        <w:rPr>
          <w:rFonts w:ascii="Arial" w:hAnsi="Arial" w:cs="Arial"/>
        </w:rPr>
        <w:t>an</w:t>
      </w:r>
      <w:r w:rsidR="00AD50B9">
        <w:rPr>
          <w:rFonts w:ascii="Arial" w:hAnsi="Arial" w:cs="Arial"/>
        </w:rPr>
        <w:t xml:space="preserve"> rasvjete,</w:t>
      </w:r>
      <w:r w:rsidR="00F611F7">
        <w:rPr>
          <w:rFonts w:ascii="Arial" w:hAnsi="Arial" w:cs="Arial"/>
        </w:rPr>
        <w:t xml:space="preserve"> zatim rashodi za </w:t>
      </w:r>
      <w:r w:rsidR="00AD50B9">
        <w:rPr>
          <w:rFonts w:ascii="Arial" w:hAnsi="Arial" w:cs="Arial"/>
        </w:rPr>
        <w:t xml:space="preserve">nabavu </w:t>
      </w:r>
      <w:r w:rsidR="00F611F7">
        <w:rPr>
          <w:rFonts w:ascii="Arial" w:hAnsi="Arial" w:cs="Arial"/>
        </w:rPr>
        <w:t>opreme. Pojedini projekti morali su biti planirani u izvještajnom razdoblju radi provedbe postupka javne nabave, međutim nisu mogli biti završeni u izvještajnom razdoblju već se prenose u slijedeću godinu.</w:t>
      </w:r>
      <w:r w:rsidR="00180558">
        <w:rPr>
          <w:rFonts w:ascii="Arial" w:hAnsi="Arial" w:cs="Arial"/>
        </w:rPr>
        <w:t xml:space="preserve"> </w:t>
      </w:r>
    </w:p>
    <w:p w14:paraId="24CBDED9" w14:textId="22E66A05" w:rsidR="005148AD" w:rsidRDefault="005148AD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Izdaci za financijsku imovinu i otplate zajmova planirani su u iznosu od </w:t>
      </w:r>
      <w:r w:rsidR="00B72DD3">
        <w:rPr>
          <w:rFonts w:ascii="Arial" w:hAnsi="Arial" w:cs="Arial"/>
        </w:rPr>
        <w:t>43.330,00</w:t>
      </w:r>
      <w:r w:rsidR="001676E8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a ostvareni su u iznosu od </w:t>
      </w:r>
      <w:r w:rsidR="00B72DD3">
        <w:rPr>
          <w:rFonts w:ascii="Arial" w:hAnsi="Arial" w:cs="Arial"/>
        </w:rPr>
        <w:t>43.115,27</w:t>
      </w:r>
      <w:r w:rsidR="001676E8">
        <w:rPr>
          <w:rFonts w:ascii="Arial" w:hAnsi="Arial" w:cs="Arial"/>
        </w:rPr>
        <w:t xml:space="preserve"> eur o</w:t>
      </w:r>
      <w:r>
        <w:rPr>
          <w:rFonts w:ascii="Arial" w:hAnsi="Arial" w:cs="Arial"/>
        </w:rPr>
        <w:t xml:space="preserve">dnosno </w:t>
      </w:r>
      <w:r w:rsidR="00194C57">
        <w:rPr>
          <w:rFonts w:ascii="Arial" w:hAnsi="Arial" w:cs="Arial"/>
        </w:rPr>
        <w:t>99,</w:t>
      </w:r>
      <w:r w:rsidR="00135D03">
        <w:rPr>
          <w:rFonts w:ascii="Arial" w:hAnsi="Arial" w:cs="Arial"/>
        </w:rPr>
        <w:t>5</w:t>
      </w:r>
      <w:r w:rsidR="00B72DD3">
        <w:rPr>
          <w:rFonts w:ascii="Arial" w:hAnsi="Arial" w:cs="Arial"/>
        </w:rPr>
        <w:t>0</w:t>
      </w:r>
      <w:r w:rsidR="009B7AD9">
        <w:rPr>
          <w:rFonts w:ascii="Arial" w:hAnsi="Arial" w:cs="Arial"/>
        </w:rPr>
        <w:t xml:space="preserve">%, u istom izvještajnom razdoblju prethodne godine navedeni izdaci izvršeni su u iznosu od </w:t>
      </w:r>
      <w:r w:rsidR="00B72DD3">
        <w:rPr>
          <w:rFonts w:ascii="Arial" w:hAnsi="Arial" w:cs="Arial"/>
        </w:rPr>
        <w:t xml:space="preserve">50.795,48 </w:t>
      </w:r>
      <w:r w:rsidR="001676E8">
        <w:rPr>
          <w:rFonts w:ascii="Arial" w:hAnsi="Arial" w:cs="Arial"/>
        </w:rPr>
        <w:t xml:space="preserve">eur </w:t>
      </w:r>
      <w:r w:rsidR="009B7AD9">
        <w:rPr>
          <w:rFonts w:ascii="Arial" w:hAnsi="Arial" w:cs="Arial"/>
        </w:rPr>
        <w:t xml:space="preserve">ili </w:t>
      </w:r>
      <w:r w:rsidR="00B72DD3">
        <w:rPr>
          <w:rFonts w:ascii="Arial" w:hAnsi="Arial" w:cs="Arial"/>
        </w:rPr>
        <w:t>84,88</w:t>
      </w:r>
      <w:r w:rsidR="009B7AD9">
        <w:rPr>
          <w:rFonts w:ascii="Arial" w:hAnsi="Arial" w:cs="Arial"/>
        </w:rPr>
        <w:t>%.</w:t>
      </w:r>
    </w:p>
    <w:p w14:paraId="13E71495" w14:textId="5189FDAC" w:rsidR="00975D6D" w:rsidRDefault="00AB2034" w:rsidP="00BC4F5E">
      <w:pPr>
        <w:jc w:val="both"/>
        <w:rPr>
          <w:rFonts w:ascii="Arial" w:hAnsi="Arial" w:cs="Arial"/>
        </w:rPr>
      </w:pPr>
      <w:r w:rsidRPr="00AD395A">
        <w:rPr>
          <w:rFonts w:ascii="Arial" w:hAnsi="Arial" w:cs="Arial"/>
          <w:color w:val="000000" w:themeColor="text1"/>
        </w:rPr>
        <w:t xml:space="preserve">Iz </w:t>
      </w:r>
      <w:r w:rsidR="004F376E" w:rsidRPr="00AD395A">
        <w:rPr>
          <w:rFonts w:ascii="Arial" w:hAnsi="Arial" w:cs="Arial"/>
          <w:color w:val="000000" w:themeColor="text1"/>
        </w:rPr>
        <w:t xml:space="preserve">prethodno </w:t>
      </w:r>
      <w:r w:rsidRPr="00AD395A">
        <w:rPr>
          <w:rFonts w:ascii="Arial" w:hAnsi="Arial" w:cs="Arial"/>
          <w:color w:val="000000" w:themeColor="text1"/>
        </w:rPr>
        <w:t xml:space="preserve">navedenog proizlazi da je u </w:t>
      </w:r>
      <w:r w:rsidR="009C3844" w:rsidRPr="00AD395A">
        <w:rPr>
          <w:rFonts w:ascii="Arial" w:hAnsi="Arial" w:cs="Arial"/>
          <w:color w:val="000000" w:themeColor="text1"/>
        </w:rPr>
        <w:t>izvještajnom razdoblju</w:t>
      </w:r>
      <w:r w:rsidRPr="00AD395A">
        <w:rPr>
          <w:rFonts w:ascii="Arial" w:hAnsi="Arial" w:cs="Arial"/>
          <w:color w:val="000000" w:themeColor="text1"/>
        </w:rPr>
        <w:t xml:space="preserve"> ostvaren </w:t>
      </w:r>
      <w:r w:rsidR="00AD395A">
        <w:rPr>
          <w:rFonts w:ascii="Arial" w:hAnsi="Arial" w:cs="Arial"/>
          <w:color w:val="000000" w:themeColor="text1"/>
        </w:rPr>
        <w:t>manjak</w:t>
      </w:r>
      <w:r w:rsidRPr="00AD395A">
        <w:rPr>
          <w:rFonts w:ascii="Arial" w:hAnsi="Arial" w:cs="Arial"/>
          <w:color w:val="000000" w:themeColor="text1"/>
        </w:rPr>
        <w:t xml:space="preserve"> prihoda u </w:t>
      </w:r>
      <w:r w:rsidRPr="00CB08DF">
        <w:rPr>
          <w:rFonts w:ascii="Arial" w:hAnsi="Arial" w:cs="Arial"/>
        </w:rPr>
        <w:t xml:space="preserve">iznosu od </w:t>
      </w:r>
      <w:r w:rsidR="00B72DD3">
        <w:rPr>
          <w:rFonts w:ascii="Arial" w:hAnsi="Arial" w:cs="Arial"/>
        </w:rPr>
        <w:t>458.090,59</w:t>
      </w:r>
      <w:r w:rsidR="00730532">
        <w:rPr>
          <w:rFonts w:ascii="Arial" w:hAnsi="Arial" w:cs="Arial"/>
        </w:rPr>
        <w:t xml:space="preserve"> eur</w:t>
      </w:r>
      <w:r w:rsidR="00AD395A">
        <w:rPr>
          <w:rFonts w:ascii="Arial" w:hAnsi="Arial" w:cs="Arial"/>
        </w:rPr>
        <w:t>, te s p</w:t>
      </w:r>
      <w:r w:rsidR="00975D6D" w:rsidRPr="000428A4">
        <w:rPr>
          <w:rFonts w:ascii="Arial" w:hAnsi="Arial" w:cs="Arial"/>
        </w:rPr>
        <w:t>reneseni</w:t>
      </w:r>
      <w:r w:rsidR="00AD395A">
        <w:rPr>
          <w:rFonts w:ascii="Arial" w:hAnsi="Arial" w:cs="Arial"/>
        </w:rPr>
        <w:t>m</w:t>
      </w:r>
      <w:r w:rsidR="00975D6D" w:rsidRPr="000428A4">
        <w:rPr>
          <w:rFonts w:ascii="Arial" w:hAnsi="Arial" w:cs="Arial"/>
        </w:rPr>
        <w:t xml:space="preserve"> manj</w:t>
      </w:r>
      <w:r w:rsidR="00AD395A">
        <w:rPr>
          <w:rFonts w:ascii="Arial" w:hAnsi="Arial" w:cs="Arial"/>
        </w:rPr>
        <w:t>kom</w:t>
      </w:r>
      <w:r w:rsidR="00975D6D" w:rsidRPr="000428A4">
        <w:rPr>
          <w:rFonts w:ascii="Arial" w:hAnsi="Arial" w:cs="Arial"/>
        </w:rPr>
        <w:t xml:space="preserve"> prihoda </w:t>
      </w:r>
      <w:r w:rsidR="00AD395A">
        <w:rPr>
          <w:rFonts w:ascii="Arial" w:hAnsi="Arial" w:cs="Arial"/>
        </w:rPr>
        <w:t xml:space="preserve">u </w:t>
      </w:r>
      <w:r w:rsidR="00975D6D" w:rsidRPr="000428A4">
        <w:rPr>
          <w:rFonts w:ascii="Arial" w:hAnsi="Arial" w:cs="Arial"/>
        </w:rPr>
        <w:t>iznos</w:t>
      </w:r>
      <w:r w:rsidR="00AD395A">
        <w:rPr>
          <w:rFonts w:ascii="Arial" w:hAnsi="Arial" w:cs="Arial"/>
        </w:rPr>
        <w:t xml:space="preserve">u od </w:t>
      </w:r>
      <w:r w:rsidR="00975D6D" w:rsidRPr="000428A4">
        <w:rPr>
          <w:rFonts w:ascii="Arial" w:hAnsi="Arial" w:cs="Arial"/>
        </w:rPr>
        <w:t xml:space="preserve"> </w:t>
      </w:r>
      <w:r w:rsidR="00B72DD3">
        <w:rPr>
          <w:rFonts w:ascii="Arial" w:hAnsi="Arial" w:cs="Arial"/>
        </w:rPr>
        <w:t>109.565,76</w:t>
      </w:r>
      <w:r w:rsidR="00730532">
        <w:rPr>
          <w:rFonts w:ascii="Arial" w:hAnsi="Arial" w:cs="Arial"/>
        </w:rPr>
        <w:t xml:space="preserve"> </w:t>
      </w:r>
      <w:r w:rsidR="00AD395A">
        <w:rPr>
          <w:rFonts w:ascii="Arial" w:hAnsi="Arial" w:cs="Arial"/>
        </w:rPr>
        <w:t xml:space="preserve">eur čini ukupni manjak prihoda u iznosu od </w:t>
      </w:r>
      <w:r w:rsidR="00B72DD3">
        <w:rPr>
          <w:rFonts w:ascii="Arial" w:hAnsi="Arial" w:cs="Arial"/>
        </w:rPr>
        <w:t xml:space="preserve">567.656,35 </w:t>
      </w:r>
      <w:r w:rsidR="00AD395A">
        <w:rPr>
          <w:rFonts w:ascii="Arial" w:hAnsi="Arial" w:cs="Arial"/>
        </w:rPr>
        <w:t xml:space="preserve">eur, od čega </w:t>
      </w:r>
      <w:r w:rsidR="00975D6D" w:rsidRPr="000428A4">
        <w:rPr>
          <w:rFonts w:ascii="Arial" w:hAnsi="Arial" w:cs="Arial"/>
        </w:rPr>
        <w:t xml:space="preserve">manjak prihoda poslovanja Općine Tkon u iznosu od </w:t>
      </w:r>
      <w:r w:rsidR="00B72DD3">
        <w:rPr>
          <w:rFonts w:ascii="Arial" w:hAnsi="Arial" w:cs="Arial"/>
        </w:rPr>
        <w:t>558.558,80</w:t>
      </w:r>
      <w:r w:rsidR="00730532">
        <w:rPr>
          <w:rFonts w:ascii="Arial" w:hAnsi="Arial" w:cs="Arial"/>
        </w:rPr>
        <w:t xml:space="preserve"> eur</w:t>
      </w:r>
      <w:r w:rsidR="00975D6D" w:rsidRPr="000428A4">
        <w:rPr>
          <w:rFonts w:ascii="Arial" w:hAnsi="Arial" w:cs="Arial"/>
        </w:rPr>
        <w:t xml:space="preserve"> te </w:t>
      </w:r>
      <w:r w:rsidR="00730532">
        <w:rPr>
          <w:rFonts w:ascii="Arial" w:hAnsi="Arial" w:cs="Arial"/>
        </w:rPr>
        <w:t>manjak</w:t>
      </w:r>
      <w:r w:rsidR="007D6CDF" w:rsidRPr="000428A4">
        <w:rPr>
          <w:rFonts w:ascii="Arial" w:hAnsi="Arial" w:cs="Arial"/>
        </w:rPr>
        <w:t xml:space="preserve"> prihoda </w:t>
      </w:r>
      <w:r w:rsidR="00975D6D" w:rsidRPr="000428A4">
        <w:rPr>
          <w:rFonts w:ascii="Arial" w:hAnsi="Arial" w:cs="Arial"/>
        </w:rPr>
        <w:t xml:space="preserve">proračunskog korisnika DV Ćok u iznosu od </w:t>
      </w:r>
      <w:r w:rsidR="00B72DD3">
        <w:rPr>
          <w:rFonts w:ascii="Arial" w:hAnsi="Arial" w:cs="Arial"/>
        </w:rPr>
        <w:t>9.097,55</w:t>
      </w:r>
      <w:r w:rsidR="00730532">
        <w:rPr>
          <w:rFonts w:ascii="Arial" w:hAnsi="Arial" w:cs="Arial"/>
        </w:rPr>
        <w:t xml:space="preserve"> eur</w:t>
      </w:r>
      <w:r w:rsidR="00B72DD3">
        <w:rPr>
          <w:rFonts w:ascii="Arial" w:hAnsi="Arial" w:cs="Arial"/>
        </w:rPr>
        <w:t xml:space="preserve"> (manjak prihoda proračunskog korisnika nastao je iz metodološkog manjka u iznosu od 9.113,39 eur </w:t>
      </w:r>
      <w:r w:rsidR="0055269D">
        <w:rPr>
          <w:rFonts w:ascii="Arial" w:hAnsi="Arial" w:cs="Arial"/>
        </w:rPr>
        <w:t>te</w:t>
      </w:r>
      <w:r w:rsidR="00B72DD3">
        <w:rPr>
          <w:rFonts w:ascii="Arial" w:hAnsi="Arial" w:cs="Arial"/>
        </w:rPr>
        <w:t xml:space="preserve"> viška prihoda </w:t>
      </w:r>
      <w:r w:rsidR="0055269D">
        <w:rPr>
          <w:rFonts w:ascii="Arial" w:hAnsi="Arial" w:cs="Arial"/>
        </w:rPr>
        <w:t>iz</w:t>
      </w:r>
      <w:r w:rsidR="00B72DD3">
        <w:rPr>
          <w:rFonts w:ascii="Arial" w:hAnsi="Arial" w:cs="Arial"/>
        </w:rPr>
        <w:t xml:space="preserve"> vlastitih izvora u iznosu od 15,84 eur)</w:t>
      </w:r>
      <w:r w:rsidR="00975D6D" w:rsidRPr="000428A4">
        <w:rPr>
          <w:rFonts w:ascii="Arial" w:hAnsi="Arial" w:cs="Arial"/>
        </w:rPr>
        <w:t xml:space="preserve">. </w:t>
      </w:r>
    </w:p>
    <w:p w14:paraId="6C84E18C" w14:textId="6A83EB2E" w:rsidR="000B6A37" w:rsidRDefault="000B6A37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novčanih sredstava na početku izvještajnog razdoblja iznosilo je </w:t>
      </w:r>
      <w:r w:rsidR="0055269D">
        <w:rPr>
          <w:rFonts w:ascii="Arial" w:hAnsi="Arial" w:cs="Arial"/>
        </w:rPr>
        <w:t>59.741,52</w:t>
      </w:r>
      <w:r>
        <w:rPr>
          <w:rFonts w:ascii="Arial" w:hAnsi="Arial" w:cs="Arial"/>
        </w:rPr>
        <w:t xml:space="preserve"> eur dok je stanje novčanih sredstava 3</w:t>
      </w:r>
      <w:r w:rsidR="00E844CF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E844CF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55269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.godine iznosilo </w:t>
      </w:r>
      <w:r w:rsidR="0055269D">
        <w:rPr>
          <w:rFonts w:ascii="Arial" w:hAnsi="Arial" w:cs="Arial"/>
        </w:rPr>
        <w:t>10.946,04</w:t>
      </w:r>
      <w:r>
        <w:rPr>
          <w:rFonts w:ascii="Arial" w:hAnsi="Arial" w:cs="Arial"/>
        </w:rPr>
        <w:t xml:space="preserve"> eur.</w:t>
      </w:r>
    </w:p>
    <w:p w14:paraId="538FA326" w14:textId="1A6CE393" w:rsidR="000B0AE6" w:rsidRDefault="000B0AE6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Rashodi poslovanja analitički su prikazani u okviru Posebnog dijela proračuna.</w:t>
      </w:r>
    </w:p>
    <w:p w14:paraId="4D5C48A9" w14:textId="77777777" w:rsidR="00FB7D8B" w:rsidRDefault="00FB7D8B" w:rsidP="00BC4F5E">
      <w:pPr>
        <w:jc w:val="both"/>
        <w:rPr>
          <w:rFonts w:ascii="Arial" w:hAnsi="Arial" w:cs="Arial"/>
        </w:rPr>
      </w:pPr>
    </w:p>
    <w:p w14:paraId="6CE614A4" w14:textId="77777777" w:rsidR="00775928" w:rsidRDefault="00775928" w:rsidP="00BC4F5E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BC4F5E" w14:paraId="75124C14" w14:textId="77777777" w:rsidTr="00BC4F5E">
        <w:tc>
          <w:tcPr>
            <w:tcW w:w="9288" w:type="dxa"/>
          </w:tcPr>
          <w:p w14:paraId="4872BEE6" w14:textId="341D27E1" w:rsidR="00BC4F5E" w:rsidRPr="00BC4F5E" w:rsidRDefault="00BC4F5E" w:rsidP="00CB08DF">
            <w:pPr>
              <w:jc w:val="both"/>
              <w:rPr>
                <w:rFonts w:ascii="Arial" w:hAnsi="Arial" w:cs="Arial"/>
              </w:rPr>
            </w:pPr>
            <w:r w:rsidRPr="00BC4F5E">
              <w:rPr>
                <w:rFonts w:ascii="Arial" w:hAnsi="Arial" w:cs="Arial"/>
                <w:b/>
              </w:rPr>
              <w:t>Posebni dio proračuna</w:t>
            </w:r>
            <w:r w:rsidRPr="00BC4F5E">
              <w:rPr>
                <w:rFonts w:ascii="Arial" w:hAnsi="Arial" w:cs="Arial"/>
              </w:rPr>
              <w:t xml:space="preserve"> </w:t>
            </w:r>
          </w:p>
        </w:tc>
      </w:tr>
    </w:tbl>
    <w:p w14:paraId="315EFFB3" w14:textId="77777777" w:rsidR="000E683C" w:rsidRDefault="000E683C" w:rsidP="00D73A8B">
      <w:pPr>
        <w:jc w:val="both"/>
        <w:rPr>
          <w:rFonts w:ascii="Arial" w:hAnsi="Arial" w:cs="Arial"/>
        </w:rPr>
      </w:pPr>
    </w:p>
    <w:p w14:paraId="6D9346C2" w14:textId="4F3D97F0" w:rsidR="007E1C12" w:rsidRDefault="00D73A8B" w:rsidP="00D73A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</w:t>
      </w:r>
      <w:r w:rsidRPr="00D73A8B">
        <w:rPr>
          <w:rFonts w:ascii="Arial" w:hAnsi="Arial" w:cs="Arial"/>
        </w:rPr>
        <w:t xml:space="preserve"> dio proračuna o izvršenju proračuna za </w:t>
      </w:r>
      <w:r w:rsidR="00561C0B">
        <w:rPr>
          <w:rFonts w:ascii="Arial" w:hAnsi="Arial" w:cs="Arial"/>
        </w:rPr>
        <w:t>izvještajno razdoblje od 01.01. do 3</w:t>
      </w:r>
      <w:r w:rsidR="00B62AD3">
        <w:rPr>
          <w:rFonts w:ascii="Arial" w:hAnsi="Arial" w:cs="Arial"/>
        </w:rPr>
        <w:t>1</w:t>
      </w:r>
      <w:r w:rsidR="00561C0B">
        <w:rPr>
          <w:rFonts w:ascii="Arial" w:hAnsi="Arial" w:cs="Arial"/>
        </w:rPr>
        <w:t>.</w:t>
      </w:r>
      <w:r w:rsidR="00B62AD3">
        <w:rPr>
          <w:rFonts w:ascii="Arial" w:hAnsi="Arial" w:cs="Arial"/>
        </w:rPr>
        <w:t>12</w:t>
      </w:r>
      <w:r w:rsidR="00561C0B">
        <w:rPr>
          <w:rFonts w:ascii="Arial" w:hAnsi="Arial" w:cs="Arial"/>
        </w:rPr>
        <w:t>.20</w:t>
      </w:r>
      <w:r w:rsidR="0028029C">
        <w:rPr>
          <w:rFonts w:ascii="Arial" w:hAnsi="Arial" w:cs="Arial"/>
        </w:rPr>
        <w:t>2</w:t>
      </w:r>
      <w:r w:rsidR="00467DBE">
        <w:rPr>
          <w:rFonts w:ascii="Arial" w:hAnsi="Arial" w:cs="Arial"/>
        </w:rPr>
        <w:t>5</w:t>
      </w:r>
      <w:r w:rsidR="00561C0B">
        <w:rPr>
          <w:rFonts w:ascii="Arial" w:hAnsi="Arial" w:cs="Arial"/>
        </w:rPr>
        <w:t xml:space="preserve">. </w:t>
      </w:r>
      <w:r w:rsidRPr="00D73A8B">
        <w:rPr>
          <w:rFonts w:ascii="Arial" w:hAnsi="Arial" w:cs="Arial"/>
        </w:rPr>
        <w:t>godin</w:t>
      </w:r>
      <w:r w:rsidR="00561C0B">
        <w:rPr>
          <w:rFonts w:ascii="Arial" w:hAnsi="Arial" w:cs="Arial"/>
        </w:rPr>
        <w:t>e</w:t>
      </w:r>
      <w:r w:rsidRPr="00D73A8B">
        <w:rPr>
          <w:rFonts w:ascii="Arial" w:hAnsi="Arial" w:cs="Arial"/>
        </w:rPr>
        <w:t xml:space="preserve"> iskazuje </w:t>
      </w:r>
      <w:r w:rsidR="00ED304D">
        <w:rPr>
          <w:rFonts w:ascii="Arial" w:hAnsi="Arial" w:cs="Arial"/>
        </w:rPr>
        <w:t xml:space="preserve">rashode i izdatke </w:t>
      </w:r>
      <w:r w:rsidR="00561C0B">
        <w:rPr>
          <w:rFonts w:ascii="Arial" w:hAnsi="Arial" w:cs="Arial"/>
        </w:rPr>
        <w:t>navedenog izvještajnog razdoblja</w:t>
      </w:r>
      <w:r w:rsidRPr="00D73A8B">
        <w:rPr>
          <w:rFonts w:ascii="Arial" w:hAnsi="Arial" w:cs="Arial"/>
        </w:rPr>
        <w:t>, a prezentira se slijedećim izvještajima:</w:t>
      </w:r>
    </w:p>
    <w:p w14:paraId="17BA9F92" w14:textId="63919F03" w:rsidR="00252C71" w:rsidRPr="00252C71" w:rsidRDefault="00252C71" w:rsidP="00252C71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252C71">
        <w:rPr>
          <w:rFonts w:ascii="Arial" w:hAnsi="Arial" w:cs="Arial"/>
        </w:rPr>
        <w:t xml:space="preserve">Izvršenje po </w:t>
      </w:r>
      <w:r>
        <w:rPr>
          <w:rFonts w:ascii="Arial" w:hAnsi="Arial" w:cs="Arial"/>
        </w:rPr>
        <w:t>organizacijskoj</w:t>
      </w:r>
      <w:r w:rsidRPr="00252C71">
        <w:rPr>
          <w:rFonts w:ascii="Arial" w:hAnsi="Arial" w:cs="Arial"/>
        </w:rPr>
        <w:t xml:space="preserve"> klasifikaciji</w:t>
      </w:r>
    </w:p>
    <w:p w14:paraId="31FEAC7A" w14:textId="53E1F2DA" w:rsidR="000B0AE6" w:rsidRDefault="00ED304D" w:rsidP="00ED304D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Izvršenje po programskoj klasifikaciji</w:t>
      </w:r>
    </w:p>
    <w:p w14:paraId="785D874E" w14:textId="77777777" w:rsidR="00775928" w:rsidRDefault="00775928" w:rsidP="00775928">
      <w:pPr>
        <w:pStyle w:val="Odlomakpopisa"/>
        <w:ind w:left="1080"/>
        <w:jc w:val="both"/>
        <w:rPr>
          <w:rFonts w:ascii="Arial" w:hAnsi="Arial" w:cs="Arial"/>
        </w:rPr>
      </w:pPr>
    </w:p>
    <w:p w14:paraId="656A4242" w14:textId="77777777" w:rsidR="00775928" w:rsidRDefault="00775928" w:rsidP="00775928">
      <w:pPr>
        <w:pStyle w:val="Odlomakpopisa"/>
        <w:ind w:left="1080"/>
        <w:jc w:val="both"/>
        <w:rPr>
          <w:rFonts w:ascii="Arial" w:hAnsi="Arial" w:cs="Arial"/>
        </w:rPr>
      </w:pPr>
    </w:p>
    <w:p w14:paraId="26E918F7" w14:textId="77777777" w:rsidR="00775928" w:rsidRDefault="00775928" w:rsidP="00775928">
      <w:pPr>
        <w:pStyle w:val="Odlomakpopisa"/>
        <w:ind w:left="1080"/>
        <w:jc w:val="both"/>
        <w:rPr>
          <w:rFonts w:ascii="Arial" w:hAnsi="Arial" w:cs="Arial"/>
        </w:rPr>
      </w:pPr>
    </w:p>
    <w:p w14:paraId="774C5C6A" w14:textId="77777777" w:rsidR="000E683C" w:rsidRDefault="00252C71" w:rsidP="00252C71">
      <w:pPr>
        <w:jc w:val="both"/>
        <w:rPr>
          <w:rFonts w:ascii="Arial" w:hAnsi="Arial" w:cs="Arial"/>
          <w:b/>
          <w:bCs/>
          <w:u w:val="single"/>
        </w:rPr>
      </w:pPr>
      <w:r w:rsidRPr="00252C71">
        <w:rPr>
          <w:rFonts w:ascii="Arial" w:hAnsi="Arial" w:cs="Arial"/>
          <w:b/>
          <w:bCs/>
          <w:u w:val="single"/>
        </w:rPr>
        <w:t xml:space="preserve">Posebni dio proračuna po </w:t>
      </w:r>
      <w:r>
        <w:rPr>
          <w:rFonts w:ascii="Arial" w:hAnsi="Arial" w:cs="Arial"/>
          <w:b/>
          <w:bCs/>
          <w:u w:val="single"/>
        </w:rPr>
        <w:t>organizacijskoj</w:t>
      </w:r>
      <w:r w:rsidRPr="00252C71">
        <w:rPr>
          <w:rFonts w:ascii="Arial" w:hAnsi="Arial" w:cs="Arial"/>
          <w:b/>
          <w:bCs/>
          <w:u w:val="single"/>
        </w:rPr>
        <w:t xml:space="preserve"> klasifikaciji</w:t>
      </w:r>
    </w:p>
    <w:p w14:paraId="707BA888" w14:textId="40A79001" w:rsidR="00252C71" w:rsidRDefault="00252C71" w:rsidP="00252C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iskazanom po organizacijskoj klasifikaciji evidentirani su rashodi i izdaci po organizacijskim jedinicama (razdjel i glava) i proračunskom korisniku (razdjel i glava).</w:t>
      </w:r>
    </w:p>
    <w:p w14:paraId="19C4AA01" w14:textId="2AFBDF3C" w:rsidR="00252C71" w:rsidRDefault="00252C71" w:rsidP="00252C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 navedene tablice vidljivo je ostvarenje rashoda po razdjelima i glavama, čije je ostvarenje ovisilo o ostvarenju prihoda.</w:t>
      </w:r>
    </w:p>
    <w:p w14:paraId="21EFF8F1" w14:textId="60FAD924" w:rsidR="00177E57" w:rsidRDefault="00252C71" w:rsidP="00252C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 organizacijskim dijelovima koji se odnose na </w:t>
      </w:r>
      <w:r w:rsidR="00177E57">
        <w:rPr>
          <w:rFonts w:ascii="Arial" w:hAnsi="Arial" w:cs="Arial"/>
        </w:rPr>
        <w:t xml:space="preserve">Općinsko vijeće, općinskog načelnika i radna tijela od planiranih sredstava na godišnjoj razini u iznosu od </w:t>
      </w:r>
      <w:r w:rsidR="00467DBE">
        <w:rPr>
          <w:rFonts w:ascii="Arial" w:hAnsi="Arial" w:cs="Arial"/>
        </w:rPr>
        <w:t>25.300,00</w:t>
      </w:r>
      <w:r w:rsidR="00177E57">
        <w:rPr>
          <w:rFonts w:ascii="Arial" w:hAnsi="Arial" w:cs="Arial"/>
        </w:rPr>
        <w:t xml:space="preserve"> eur realizirano je </w:t>
      </w:r>
      <w:r w:rsidR="00467DBE">
        <w:rPr>
          <w:rFonts w:ascii="Arial" w:hAnsi="Arial" w:cs="Arial"/>
        </w:rPr>
        <w:t>20.808,45</w:t>
      </w:r>
      <w:r w:rsidR="00177E57">
        <w:rPr>
          <w:rFonts w:ascii="Arial" w:hAnsi="Arial" w:cs="Arial"/>
        </w:rPr>
        <w:t xml:space="preserve"> eur ili </w:t>
      </w:r>
      <w:r w:rsidR="009973B1">
        <w:rPr>
          <w:rFonts w:ascii="Arial" w:hAnsi="Arial" w:cs="Arial"/>
        </w:rPr>
        <w:t>8</w:t>
      </w:r>
      <w:r w:rsidR="00467DBE">
        <w:rPr>
          <w:rFonts w:ascii="Arial" w:hAnsi="Arial" w:cs="Arial"/>
        </w:rPr>
        <w:t>2</w:t>
      </w:r>
      <w:r w:rsidR="009973B1">
        <w:rPr>
          <w:rFonts w:ascii="Arial" w:hAnsi="Arial" w:cs="Arial"/>
        </w:rPr>
        <w:t>,</w:t>
      </w:r>
      <w:r w:rsidR="00467DBE">
        <w:rPr>
          <w:rFonts w:ascii="Arial" w:hAnsi="Arial" w:cs="Arial"/>
        </w:rPr>
        <w:t>2</w:t>
      </w:r>
      <w:r w:rsidR="009973B1">
        <w:rPr>
          <w:rFonts w:ascii="Arial" w:hAnsi="Arial" w:cs="Arial"/>
        </w:rPr>
        <w:t>5</w:t>
      </w:r>
      <w:r w:rsidR="00177E57">
        <w:rPr>
          <w:rFonts w:ascii="Arial" w:hAnsi="Arial" w:cs="Arial"/>
        </w:rPr>
        <w:t>%,</w:t>
      </w:r>
    </w:p>
    <w:p w14:paraId="426987A6" w14:textId="30A1AF41" w:rsidR="00252C71" w:rsidRDefault="00177E57" w:rsidP="00252C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77E57">
        <w:rPr>
          <w:rFonts w:ascii="Arial" w:hAnsi="Arial" w:cs="Arial"/>
        </w:rPr>
        <w:t xml:space="preserve">Rashodi po organizacijskim dijelovima koji se odnose na </w:t>
      </w:r>
      <w:r w:rsidR="00252C71">
        <w:rPr>
          <w:rFonts w:ascii="Arial" w:hAnsi="Arial" w:cs="Arial"/>
        </w:rPr>
        <w:t xml:space="preserve">Jedinstveni upravni odjel, od planiranih sredstava u iznosu od </w:t>
      </w:r>
      <w:r w:rsidR="00467DBE">
        <w:rPr>
          <w:rFonts w:ascii="Arial" w:hAnsi="Arial" w:cs="Arial"/>
        </w:rPr>
        <w:t>2.698.915,00</w:t>
      </w:r>
      <w:r w:rsidR="00252C71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 </w:t>
      </w:r>
      <w:r w:rsidR="00252C71">
        <w:rPr>
          <w:rFonts w:ascii="Arial" w:hAnsi="Arial" w:cs="Arial"/>
        </w:rPr>
        <w:t xml:space="preserve">realizirano je </w:t>
      </w:r>
      <w:r w:rsidR="009973B1">
        <w:rPr>
          <w:rFonts w:ascii="Arial" w:hAnsi="Arial" w:cs="Arial"/>
        </w:rPr>
        <w:t>1.</w:t>
      </w:r>
      <w:r w:rsidR="00467DBE">
        <w:rPr>
          <w:rFonts w:ascii="Arial" w:hAnsi="Arial" w:cs="Arial"/>
        </w:rPr>
        <w:t>841.364,31</w:t>
      </w:r>
      <w:r>
        <w:rPr>
          <w:rFonts w:ascii="Arial" w:hAnsi="Arial" w:cs="Arial"/>
        </w:rPr>
        <w:t xml:space="preserve"> eur ili </w:t>
      </w:r>
      <w:r w:rsidR="009973B1">
        <w:rPr>
          <w:rFonts w:ascii="Arial" w:hAnsi="Arial" w:cs="Arial"/>
        </w:rPr>
        <w:t>6</w:t>
      </w:r>
      <w:r w:rsidR="00467DBE">
        <w:rPr>
          <w:rFonts w:ascii="Arial" w:hAnsi="Arial" w:cs="Arial"/>
        </w:rPr>
        <w:t>8,23</w:t>
      </w:r>
      <w:r>
        <w:rPr>
          <w:rFonts w:ascii="Arial" w:hAnsi="Arial" w:cs="Arial"/>
        </w:rPr>
        <w:t>%,</w:t>
      </w:r>
    </w:p>
    <w:p w14:paraId="252B14B9" w14:textId="7367B062" w:rsidR="00177E57" w:rsidRDefault="00177E57" w:rsidP="00252C71">
      <w:pPr>
        <w:jc w:val="both"/>
        <w:rPr>
          <w:rFonts w:ascii="Arial" w:hAnsi="Arial" w:cs="Arial"/>
        </w:rPr>
      </w:pPr>
      <w:r w:rsidRPr="00177E57">
        <w:rPr>
          <w:rFonts w:ascii="Arial" w:hAnsi="Arial" w:cs="Arial"/>
        </w:rPr>
        <w:t xml:space="preserve">Rashodi po organizacijskim dijelovima koji se odnose na </w:t>
      </w:r>
      <w:r>
        <w:rPr>
          <w:rFonts w:ascii="Arial" w:hAnsi="Arial" w:cs="Arial"/>
        </w:rPr>
        <w:t>Dječji vrtić Ćok,</w:t>
      </w:r>
      <w:r w:rsidRPr="00177E57">
        <w:rPr>
          <w:rFonts w:ascii="Arial" w:hAnsi="Arial" w:cs="Arial"/>
        </w:rPr>
        <w:t xml:space="preserve">, od planiranih sredstava u iznosu od </w:t>
      </w:r>
      <w:r w:rsidR="00467DBE">
        <w:rPr>
          <w:rFonts w:ascii="Arial" w:hAnsi="Arial" w:cs="Arial"/>
        </w:rPr>
        <w:t>146.524,00</w:t>
      </w:r>
      <w:r w:rsidRPr="00177E57">
        <w:rPr>
          <w:rFonts w:ascii="Arial" w:hAnsi="Arial" w:cs="Arial"/>
        </w:rPr>
        <w:t xml:space="preserve"> eur realizirano je </w:t>
      </w:r>
      <w:r w:rsidR="00467DBE">
        <w:rPr>
          <w:rFonts w:ascii="Arial" w:hAnsi="Arial" w:cs="Arial"/>
        </w:rPr>
        <w:t>144.897,35</w:t>
      </w:r>
      <w:r w:rsidRPr="00177E57">
        <w:rPr>
          <w:rFonts w:ascii="Arial" w:hAnsi="Arial" w:cs="Arial"/>
        </w:rPr>
        <w:t xml:space="preserve"> eur ili </w:t>
      </w:r>
      <w:r w:rsidR="009973B1">
        <w:rPr>
          <w:rFonts w:ascii="Arial" w:hAnsi="Arial" w:cs="Arial"/>
        </w:rPr>
        <w:t>98,</w:t>
      </w:r>
      <w:r w:rsidR="00467DBE">
        <w:rPr>
          <w:rFonts w:ascii="Arial" w:hAnsi="Arial" w:cs="Arial"/>
        </w:rPr>
        <w:t>89</w:t>
      </w:r>
      <w:r w:rsidRPr="00177E57">
        <w:rPr>
          <w:rFonts w:ascii="Arial" w:hAnsi="Arial" w:cs="Arial"/>
        </w:rPr>
        <w:t>%,</w:t>
      </w:r>
    </w:p>
    <w:p w14:paraId="5949F6AB" w14:textId="77777777" w:rsidR="00775928" w:rsidRDefault="00775928" w:rsidP="00252C71">
      <w:pPr>
        <w:jc w:val="both"/>
        <w:rPr>
          <w:rFonts w:ascii="Arial" w:hAnsi="Arial" w:cs="Arial"/>
        </w:rPr>
      </w:pPr>
    </w:p>
    <w:p w14:paraId="5052E871" w14:textId="77777777" w:rsidR="00ED1FD8" w:rsidRDefault="00ED1FD8" w:rsidP="00BC4F5E">
      <w:pPr>
        <w:jc w:val="both"/>
        <w:rPr>
          <w:rFonts w:ascii="Arial" w:hAnsi="Arial" w:cs="Arial"/>
        </w:rPr>
      </w:pPr>
      <w:r w:rsidRPr="00ED1FD8">
        <w:rPr>
          <w:rFonts w:ascii="Arial" w:hAnsi="Arial" w:cs="Arial"/>
          <w:b/>
          <w:u w:val="single"/>
        </w:rPr>
        <w:t>Posebni dio proračuna po programskoj klasifikaciji</w:t>
      </w:r>
      <w:r w:rsidR="0074741F">
        <w:rPr>
          <w:rFonts w:ascii="Arial" w:hAnsi="Arial" w:cs="Arial"/>
        </w:rPr>
        <w:t xml:space="preserve"> </w:t>
      </w:r>
    </w:p>
    <w:p w14:paraId="17AC135D" w14:textId="77777777" w:rsidR="00ED1FD8" w:rsidRDefault="00ED1FD8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iskazanom po programskoj klasifikaciji evidentirani su rashodi kroz aktivnosti i projekte koji su povezani u programe na temelju zajedničkih ciljeva, po organi</w:t>
      </w:r>
      <w:r w:rsidR="0074741F">
        <w:rPr>
          <w:rFonts w:ascii="Arial" w:hAnsi="Arial" w:cs="Arial"/>
        </w:rPr>
        <w:t>zacijskim jedinicama (razdjel i glave</w:t>
      </w:r>
      <w:r>
        <w:rPr>
          <w:rFonts w:ascii="Arial" w:hAnsi="Arial" w:cs="Arial"/>
        </w:rPr>
        <w:t>) i proračunski</w:t>
      </w:r>
      <w:r w:rsidR="007474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korisni</w:t>
      </w:r>
      <w:r w:rsidR="0074741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</w:t>
      </w:r>
      <w:r w:rsidR="0074741F">
        <w:rPr>
          <w:rFonts w:ascii="Arial" w:hAnsi="Arial" w:cs="Arial"/>
        </w:rPr>
        <w:t xml:space="preserve">razdjel i </w:t>
      </w:r>
      <w:r>
        <w:rPr>
          <w:rFonts w:ascii="Arial" w:hAnsi="Arial" w:cs="Arial"/>
        </w:rPr>
        <w:t>glava).</w:t>
      </w:r>
    </w:p>
    <w:p w14:paraId="3F6FA83C" w14:textId="5B91C797" w:rsidR="00C22ED7" w:rsidRDefault="00ED1FD8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</w:t>
      </w:r>
      <w:r w:rsidR="0074741F">
        <w:rPr>
          <w:rFonts w:ascii="Arial" w:hAnsi="Arial" w:cs="Arial"/>
        </w:rPr>
        <w:t xml:space="preserve">i izdaci </w:t>
      </w:r>
      <w:r>
        <w:rPr>
          <w:rFonts w:ascii="Arial" w:hAnsi="Arial" w:cs="Arial"/>
        </w:rPr>
        <w:t xml:space="preserve">ostvareni u </w:t>
      </w:r>
      <w:r w:rsidR="00A519C0">
        <w:rPr>
          <w:rFonts w:ascii="Arial" w:hAnsi="Arial" w:cs="Arial"/>
        </w:rPr>
        <w:t>izvještajnom razdoblju od 01.01. do 3</w:t>
      </w:r>
      <w:r w:rsidR="00F72CDA">
        <w:rPr>
          <w:rFonts w:ascii="Arial" w:hAnsi="Arial" w:cs="Arial"/>
        </w:rPr>
        <w:t>1</w:t>
      </w:r>
      <w:r w:rsidR="00A519C0">
        <w:rPr>
          <w:rFonts w:ascii="Arial" w:hAnsi="Arial" w:cs="Arial"/>
        </w:rPr>
        <w:t>.</w:t>
      </w:r>
      <w:r w:rsidR="00F72CDA">
        <w:rPr>
          <w:rFonts w:ascii="Arial" w:hAnsi="Arial" w:cs="Arial"/>
        </w:rPr>
        <w:t>12</w:t>
      </w:r>
      <w:r w:rsidR="008D6ABE">
        <w:rPr>
          <w:rFonts w:ascii="Arial" w:hAnsi="Arial" w:cs="Arial"/>
        </w:rPr>
        <w:t>.20</w:t>
      </w:r>
      <w:r w:rsidR="00AF041E">
        <w:rPr>
          <w:rFonts w:ascii="Arial" w:hAnsi="Arial" w:cs="Arial"/>
        </w:rPr>
        <w:t>2</w:t>
      </w:r>
      <w:r w:rsidR="00467DBE">
        <w:rPr>
          <w:rFonts w:ascii="Arial" w:hAnsi="Arial" w:cs="Arial"/>
        </w:rPr>
        <w:t>5</w:t>
      </w:r>
      <w:r w:rsidR="00C345A8">
        <w:rPr>
          <w:rFonts w:ascii="Arial" w:hAnsi="Arial" w:cs="Arial"/>
        </w:rPr>
        <w:t>.</w:t>
      </w:r>
      <w:r w:rsidR="00A519C0">
        <w:rPr>
          <w:rFonts w:ascii="Arial" w:hAnsi="Arial" w:cs="Arial"/>
        </w:rPr>
        <w:t xml:space="preserve"> godine </w:t>
      </w:r>
      <w:r>
        <w:rPr>
          <w:rFonts w:ascii="Arial" w:hAnsi="Arial" w:cs="Arial"/>
        </w:rPr>
        <w:t>bili su određeni visinom i namjenom ostvarenih prihoda</w:t>
      </w:r>
      <w:r w:rsidR="0074741F">
        <w:rPr>
          <w:rFonts w:ascii="Arial" w:hAnsi="Arial" w:cs="Arial"/>
        </w:rPr>
        <w:t xml:space="preserve"> te su </w:t>
      </w:r>
      <w:r w:rsidR="00C22ED7">
        <w:rPr>
          <w:rFonts w:ascii="Arial" w:hAnsi="Arial" w:cs="Arial"/>
        </w:rPr>
        <w:t xml:space="preserve">od planiranih sredstava na godišnjoj razini u iznosu od </w:t>
      </w:r>
      <w:r w:rsidR="00C345A8">
        <w:rPr>
          <w:rFonts w:ascii="Arial" w:hAnsi="Arial" w:cs="Arial"/>
        </w:rPr>
        <w:t>2.870.739,00</w:t>
      </w:r>
      <w:r w:rsidR="00CC6FBE">
        <w:rPr>
          <w:rFonts w:ascii="Arial" w:hAnsi="Arial" w:cs="Arial"/>
        </w:rPr>
        <w:t xml:space="preserve"> eur</w:t>
      </w:r>
      <w:r w:rsidR="00C22ED7">
        <w:rPr>
          <w:rFonts w:ascii="Arial" w:hAnsi="Arial" w:cs="Arial"/>
        </w:rPr>
        <w:t xml:space="preserve"> realizirani u iznosu od </w:t>
      </w:r>
      <w:r w:rsidR="00C345A8">
        <w:rPr>
          <w:rFonts w:ascii="Arial" w:hAnsi="Arial" w:cs="Arial"/>
        </w:rPr>
        <w:t>2.007.070,00</w:t>
      </w:r>
      <w:r w:rsidR="00C22ED7">
        <w:rPr>
          <w:rFonts w:ascii="Arial" w:hAnsi="Arial" w:cs="Arial"/>
        </w:rPr>
        <w:t xml:space="preserve"> ili </w:t>
      </w:r>
      <w:r w:rsidR="00C345A8">
        <w:rPr>
          <w:rFonts w:ascii="Arial" w:hAnsi="Arial" w:cs="Arial"/>
        </w:rPr>
        <w:t>69,91</w:t>
      </w:r>
      <w:r w:rsidR="00C22ED7">
        <w:rPr>
          <w:rFonts w:ascii="Arial" w:hAnsi="Arial" w:cs="Arial"/>
        </w:rPr>
        <w:t>%.</w:t>
      </w:r>
    </w:p>
    <w:p w14:paraId="3995CA48" w14:textId="5491DAA0" w:rsidR="002C401C" w:rsidRDefault="00E61979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E61979">
        <w:rPr>
          <w:rFonts w:ascii="Arial" w:hAnsi="Arial" w:cs="Arial"/>
        </w:rPr>
        <w:t>kupn</w:t>
      </w:r>
      <w:r>
        <w:rPr>
          <w:rFonts w:ascii="Arial" w:hAnsi="Arial" w:cs="Arial"/>
        </w:rPr>
        <w:t>o</w:t>
      </w:r>
      <w:r w:rsidRPr="00E61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3D228F">
        <w:rPr>
          <w:rFonts w:ascii="Arial" w:hAnsi="Arial" w:cs="Arial"/>
        </w:rPr>
        <w:t xml:space="preserve">stvareni rashodi i izdaci u iznosu od </w:t>
      </w:r>
      <w:r w:rsidR="00C345A8">
        <w:rPr>
          <w:rFonts w:ascii="Arial" w:hAnsi="Arial" w:cs="Arial"/>
        </w:rPr>
        <w:t>2.007.070,11</w:t>
      </w:r>
      <w:r w:rsidR="00CC6FBE">
        <w:rPr>
          <w:rFonts w:ascii="Arial" w:hAnsi="Arial" w:cs="Arial"/>
        </w:rPr>
        <w:t xml:space="preserve"> eur</w:t>
      </w:r>
      <w:r w:rsidR="003D228F">
        <w:rPr>
          <w:rFonts w:ascii="Arial" w:hAnsi="Arial" w:cs="Arial"/>
        </w:rPr>
        <w:t xml:space="preserve"> dijele se na rashode i izdatke Općine Tkon u iznosu od </w:t>
      </w:r>
      <w:r w:rsidR="00C345A8">
        <w:rPr>
          <w:rFonts w:ascii="Arial" w:hAnsi="Arial" w:cs="Arial"/>
        </w:rPr>
        <w:t>1.862.172,76</w:t>
      </w:r>
      <w:r w:rsidR="00C66F08">
        <w:rPr>
          <w:rFonts w:ascii="Arial" w:hAnsi="Arial" w:cs="Arial"/>
        </w:rPr>
        <w:t xml:space="preserve"> </w:t>
      </w:r>
      <w:r w:rsidR="00CC6FBE">
        <w:rPr>
          <w:rFonts w:ascii="Arial" w:hAnsi="Arial" w:cs="Arial"/>
        </w:rPr>
        <w:t xml:space="preserve"> eur</w:t>
      </w:r>
      <w:r w:rsidR="003B6971">
        <w:rPr>
          <w:rFonts w:ascii="Arial" w:hAnsi="Arial" w:cs="Arial"/>
        </w:rPr>
        <w:t xml:space="preserve"> t</w:t>
      </w:r>
      <w:r w:rsidR="003D228F">
        <w:rPr>
          <w:rFonts w:ascii="Arial" w:hAnsi="Arial" w:cs="Arial"/>
        </w:rPr>
        <w:t xml:space="preserve">e rashode proračunskog korisnika DV Ćok u iznosu od </w:t>
      </w:r>
      <w:r w:rsidR="00C345A8">
        <w:rPr>
          <w:rFonts w:ascii="Arial" w:hAnsi="Arial" w:cs="Arial"/>
        </w:rPr>
        <w:t>144.897,35</w:t>
      </w:r>
      <w:r w:rsidR="00CC6FBE">
        <w:rPr>
          <w:rFonts w:ascii="Arial" w:hAnsi="Arial" w:cs="Arial"/>
        </w:rPr>
        <w:t xml:space="preserve"> eur</w:t>
      </w:r>
      <w:r w:rsidR="008471C9">
        <w:rPr>
          <w:rFonts w:ascii="Arial" w:hAnsi="Arial" w:cs="Arial"/>
        </w:rPr>
        <w:t>.</w:t>
      </w:r>
    </w:p>
    <w:p w14:paraId="3ABA1F66" w14:textId="77777777" w:rsidR="00FB7D8B" w:rsidRDefault="00FB7D8B" w:rsidP="00BC4F5E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E57" w:rsidRPr="00BC4F5E" w14:paraId="28A7AAD7" w14:textId="77777777" w:rsidTr="00EA76EF">
        <w:tc>
          <w:tcPr>
            <w:tcW w:w="9062" w:type="dxa"/>
          </w:tcPr>
          <w:p w14:paraId="399BCA2B" w14:textId="77777777" w:rsidR="00177E57" w:rsidRPr="00BC4F5E" w:rsidRDefault="00177E57" w:rsidP="00EA76EF">
            <w:pPr>
              <w:pStyle w:val="Bezproreda"/>
              <w:jc w:val="both"/>
              <w:rPr>
                <w:rFonts w:ascii="Arial" w:hAnsi="Arial" w:cs="Arial"/>
              </w:rPr>
            </w:pPr>
            <w:r w:rsidRPr="00BC4F5E">
              <w:rPr>
                <w:rFonts w:ascii="Arial" w:hAnsi="Arial" w:cs="Arial"/>
                <w:b/>
              </w:rPr>
              <w:t>Izvještaj o korištenju proračunske zalihe</w:t>
            </w:r>
            <w:r w:rsidRPr="00BC4F5E">
              <w:rPr>
                <w:rFonts w:ascii="Arial" w:hAnsi="Arial" w:cs="Arial"/>
              </w:rPr>
              <w:t xml:space="preserve"> </w:t>
            </w:r>
          </w:p>
        </w:tc>
      </w:tr>
    </w:tbl>
    <w:p w14:paraId="4351BE11" w14:textId="77777777" w:rsidR="00177E57" w:rsidRDefault="00177E57" w:rsidP="00177E57">
      <w:pPr>
        <w:pStyle w:val="Bezproreda"/>
        <w:jc w:val="both"/>
        <w:rPr>
          <w:rFonts w:ascii="Arial" w:hAnsi="Arial" w:cs="Arial"/>
        </w:rPr>
      </w:pPr>
    </w:p>
    <w:p w14:paraId="31F5625A" w14:textId="31D3D1E1" w:rsidR="00177E57" w:rsidRDefault="00177E57" w:rsidP="00177E5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Tkon nije koristila sredstva proračunske zalihe do 3</w:t>
      </w:r>
      <w:r w:rsidR="00F72CD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72CDA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467DBE">
        <w:rPr>
          <w:rFonts w:ascii="Arial" w:hAnsi="Arial" w:cs="Arial"/>
        </w:rPr>
        <w:t>5</w:t>
      </w:r>
      <w:r>
        <w:rPr>
          <w:rFonts w:ascii="Arial" w:hAnsi="Arial" w:cs="Arial"/>
        </w:rPr>
        <w:t>. godine.</w:t>
      </w:r>
    </w:p>
    <w:p w14:paraId="4C523DC3" w14:textId="77777777" w:rsidR="008145D9" w:rsidRDefault="008145D9" w:rsidP="00177E57">
      <w:pPr>
        <w:pStyle w:val="Bezproreda"/>
        <w:jc w:val="both"/>
        <w:rPr>
          <w:rFonts w:ascii="Arial" w:hAnsi="Arial" w:cs="Arial"/>
        </w:rPr>
      </w:pPr>
    </w:p>
    <w:p w14:paraId="465F208A" w14:textId="77777777" w:rsidR="00FB7D8B" w:rsidRPr="00374317" w:rsidRDefault="00FB7D8B" w:rsidP="00177E57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BC4F5E" w14:paraId="5835A7FF" w14:textId="77777777" w:rsidTr="00014E63">
        <w:tc>
          <w:tcPr>
            <w:tcW w:w="9062" w:type="dxa"/>
          </w:tcPr>
          <w:p w14:paraId="77D59803" w14:textId="77777777" w:rsidR="00BC4F5E" w:rsidRPr="00BC4F5E" w:rsidRDefault="00BC4F5E" w:rsidP="00F66653">
            <w:pPr>
              <w:jc w:val="both"/>
              <w:rPr>
                <w:rFonts w:ascii="Arial" w:hAnsi="Arial" w:cs="Arial"/>
              </w:rPr>
            </w:pPr>
            <w:r w:rsidRPr="00BC4F5E">
              <w:rPr>
                <w:rFonts w:ascii="Arial" w:hAnsi="Arial" w:cs="Arial"/>
                <w:b/>
              </w:rPr>
              <w:t>Izvještaj o zaduživanju na domaćem i stranom tržištu novca i kapitala</w:t>
            </w:r>
            <w:r w:rsidR="00CC7EB3">
              <w:rPr>
                <w:rFonts w:ascii="Arial" w:hAnsi="Arial" w:cs="Arial"/>
              </w:rPr>
              <w:t xml:space="preserve"> </w:t>
            </w:r>
          </w:p>
        </w:tc>
      </w:tr>
    </w:tbl>
    <w:p w14:paraId="1D7AB3B0" w14:textId="77777777" w:rsidR="00BC4F5E" w:rsidRDefault="00BC4F5E" w:rsidP="00BC4F5E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074C1672" w14:textId="77777777" w:rsidR="001E6D1E" w:rsidRPr="00CF44CD" w:rsidRDefault="001E6D1E" w:rsidP="00BC4F5E">
      <w:pPr>
        <w:pStyle w:val="Bezproreda"/>
        <w:jc w:val="both"/>
        <w:rPr>
          <w:rFonts w:ascii="Arial" w:hAnsi="Arial" w:cs="Arial"/>
          <w:b/>
          <w:u w:val="single"/>
        </w:rPr>
      </w:pPr>
      <w:r w:rsidRPr="00CF44CD">
        <w:rPr>
          <w:rFonts w:ascii="Arial" w:hAnsi="Arial" w:cs="Arial"/>
          <w:b/>
          <w:u w:val="single"/>
        </w:rPr>
        <w:t xml:space="preserve">Dugoročno </w:t>
      </w:r>
      <w:r w:rsidR="00F66653">
        <w:rPr>
          <w:rFonts w:ascii="Arial" w:hAnsi="Arial" w:cs="Arial"/>
          <w:b/>
          <w:u w:val="single"/>
        </w:rPr>
        <w:t xml:space="preserve">i kratkoročno </w:t>
      </w:r>
      <w:r w:rsidRPr="00CF44CD">
        <w:rPr>
          <w:rFonts w:ascii="Arial" w:hAnsi="Arial" w:cs="Arial"/>
          <w:b/>
          <w:u w:val="single"/>
        </w:rPr>
        <w:t>zaduživanje</w:t>
      </w:r>
    </w:p>
    <w:p w14:paraId="0D05CD0A" w14:textId="77777777" w:rsidR="001E6D1E" w:rsidRPr="00CF44CD" w:rsidRDefault="001E6D1E" w:rsidP="00BC4F5E">
      <w:pPr>
        <w:pStyle w:val="Bezproreda"/>
        <w:jc w:val="both"/>
      </w:pPr>
    </w:p>
    <w:p w14:paraId="32979FE5" w14:textId="52B09C16" w:rsidR="002271DD" w:rsidRPr="00725F7C" w:rsidRDefault="00E27F27" w:rsidP="00BC4F5E">
      <w:pPr>
        <w:pStyle w:val="Bezproreda"/>
        <w:jc w:val="both"/>
        <w:rPr>
          <w:rFonts w:ascii="Arial" w:hAnsi="Arial" w:cs="Arial"/>
        </w:rPr>
      </w:pPr>
      <w:r w:rsidRPr="00725F7C">
        <w:rPr>
          <w:rFonts w:ascii="Arial" w:hAnsi="Arial" w:cs="Arial"/>
        </w:rPr>
        <w:t>Općina Tkon</w:t>
      </w:r>
      <w:r w:rsidR="001E6D1E" w:rsidRPr="00725F7C">
        <w:rPr>
          <w:rFonts w:ascii="Arial" w:hAnsi="Arial" w:cs="Arial"/>
        </w:rPr>
        <w:t xml:space="preserve"> </w:t>
      </w:r>
      <w:r w:rsidR="00F66653" w:rsidRPr="00725F7C">
        <w:rPr>
          <w:rFonts w:ascii="Arial" w:hAnsi="Arial" w:cs="Arial"/>
        </w:rPr>
        <w:t xml:space="preserve">dugoročno </w:t>
      </w:r>
      <w:r w:rsidR="002271DD" w:rsidRPr="00725F7C">
        <w:rPr>
          <w:rFonts w:ascii="Arial" w:hAnsi="Arial" w:cs="Arial"/>
        </w:rPr>
        <w:t xml:space="preserve">se </w:t>
      </w:r>
      <w:r w:rsidR="00F66653" w:rsidRPr="00725F7C">
        <w:rPr>
          <w:rFonts w:ascii="Arial" w:hAnsi="Arial" w:cs="Arial"/>
        </w:rPr>
        <w:t xml:space="preserve">zadužila </w:t>
      </w:r>
      <w:r w:rsidR="002271DD" w:rsidRPr="00725F7C">
        <w:rPr>
          <w:rFonts w:ascii="Arial" w:hAnsi="Arial" w:cs="Arial"/>
        </w:rPr>
        <w:t>kod HBOR-a, za pro</w:t>
      </w:r>
      <w:r w:rsidR="00CC7EB3" w:rsidRPr="00725F7C">
        <w:rPr>
          <w:rFonts w:ascii="Arial" w:hAnsi="Arial" w:cs="Arial"/>
        </w:rPr>
        <w:t xml:space="preserve">jekte komunalne infrastrukture </w:t>
      </w:r>
      <w:r w:rsidR="00CF2CD4" w:rsidRPr="00725F7C">
        <w:rPr>
          <w:rFonts w:ascii="Arial" w:hAnsi="Arial" w:cs="Arial"/>
        </w:rPr>
        <w:t>05.12.2016. godine na ro</w:t>
      </w:r>
      <w:r w:rsidR="00F66653" w:rsidRPr="00725F7C">
        <w:rPr>
          <w:rFonts w:ascii="Arial" w:hAnsi="Arial" w:cs="Arial"/>
        </w:rPr>
        <w:t>k od 12 godina bez počeka s povratom kredita u mjesečnim obrocima s datumom dospijeća 31.05.2029. godine</w:t>
      </w:r>
      <w:r w:rsidR="003B6971" w:rsidRPr="00725F7C">
        <w:rPr>
          <w:rFonts w:ascii="Arial" w:hAnsi="Arial" w:cs="Arial"/>
        </w:rPr>
        <w:t xml:space="preserve">, produženo za </w:t>
      </w:r>
      <w:r w:rsidR="006A6F4B" w:rsidRPr="00725F7C">
        <w:rPr>
          <w:rFonts w:ascii="Arial" w:hAnsi="Arial" w:cs="Arial"/>
        </w:rPr>
        <w:t xml:space="preserve">Covid 19 </w:t>
      </w:r>
      <w:r w:rsidR="003B6971" w:rsidRPr="00725F7C">
        <w:rPr>
          <w:rFonts w:ascii="Arial" w:hAnsi="Arial" w:cs="Arial"/>
        </w:rPr>
        <w:t xml:space="preserve">moratorij sukladno dodatku I i II Ugovora broj: KO-29/16 </w:t>
      </w:r>
      <w:r w:rsidR="006A6F4B" w:rsidRPr="00725F7C">
        <w:rPr>
          <w:rFonts w:ascii="Arial" w:hAnsi="Arial" w:cs="Arial"/>
        </w:rPr>
        <w:t xml:space="preserve"> s datumom dospijeća 31.12.2029. godine</w:t>
      </w:r>
      <w:r w:rsidR="003B6971" w:rsidRPr="00725F7C">
        <w:rPr>
          <w:rFonts w:ascii="Arial" w:hAnsi="Arial" w:cs="Arial"/>
        </w:rPr>
        <w:t xml:space="preserve"> </w:t>
      </w:r>
      <w:r w:rsidR="00F66653" w:rsidRPr="00725F7C">
        <w:rPr>
          <w:rFonts w:ascii="Arial" w:hAnsi="Arial" w:cs="Arial"/>
        </w:rPr>
        <w:t xml:space="preserve"> u iznosu od </w:t>
      </w:r>
      <w:r w:rsidR="00287470">
        <w:rPr>
          <w:rFonts w:ascii="Arial" w:hAnsi="Arial" w:cs="Arial"/>
        </w:rPr>
        <w:t>315.946,64 eur</w:t>
      </w:r>
      <w:r w:rsidR="00F66653" w:rsidRPr="00725F7C">
        <w:rPr>
          <w:rFonts w:ascii="Arial" w:hAnsi="Arial" w:cs="Arial"/>
        </w:rPr>
        <w:t xml:space="preserve">. </w:t>
      </w:r>
      <w:r w:rsidR="0066560C" w:rsidRPr="00725F7C">
        <w:rPr>
          <w:rFonts w:ascii="Arial" w:hAnsi="Arial" w:cs="Arial"/>
        </w:rPr>
        <w:t>Do 3</w:t>
      </w:r>
      <w:r w:rsidR="00F72CDA">
        <w:rPr>
          <w:rFonts w:ascii="Arial" w:hAnsi="Arial" w:cs="Arial"/>
        </w:rPr>
        <w:t>1</w:t>
      </w:r>
      <w:r w:rsidR="0066560C" w:rsidRPr="00725F7C">
        <w:rPr>
          <w:rFonts w:ascii="Arial" w:hAnsi="Arial" w:cs="Arial"/>
        </w:rPr>
        <w:t>.</w:t>
      </w:r>
      <w:r w:rsidR="00F72CDA">
        <w:rPr>
          <w:rFonts w:ascii="Arial" w:hAnsi="Arial" w:cs="Arial"/>
        </w:rPr>
        <w:t>12</w:t>
      </w:r>
      <w:r w:rsidR="0066560C" w:rsidRPr="00725F7C">
        <w:rPr>
          <w:rFonts w:ascii="Arial" w:hAnsi="Arial" w:cs="Arial"/>
        </w:rPr>
        <w:t>.20</w:t>
      </w:r>
      <w:r w:rsidR="00EE2132" w:rsidRPr="00725F7C">
        <w:rPr>
          <w:rFonts w:ascii="Arial" w:hAnsi="Arial" w:cs="Arial"/>
        </w:rPr>
        <w:t>2</w:t>
      </w:r>
      <w:r w:rsidR="00C345A8">
        <w:rPr>
          <w:rFonts w:ascii="Arial" w:hAnsi="Arial" w:cs="Arial"/>
        </w:rPr>
        <w:t>5</w:t>
      </w:r>
      <w:r w:rsidR="0066560C" w:rsidRPr="00725F7C">
        <w:rPr>
          <w:rFonts w:ascii="Arial" w:hAnsi="Arial" w:cs="Arial"/>
        </w:rPr>
        <w:t>.</w:t>
      </w:r>
      <w:r w:rsidR="002271DD" w:rsidRPr="00725F7C">
        <w:rPr>
          <w:rFonts w:ascii="Arial" w:hAnsi="Arial" w:cs="Arial"/>
        </w:rPr>
        <w:t xml:space="preserve"> godine izvršena je otplata kredita u iznosu od </w:t>
      </w:r>
      <w:r w:rsidR="00C345A8">
        <w:rPr>
          <w:rFonts w:ascii="Arial" w:hAnsi="Arial" w:cs="Arial"/>
        </w:rPr>
        <w:t>208.436,88</w:t>
      </w:r>
      <w:r w:rsidR="00287470">
        <w:rPr>
          <w:rFonts w:ascii="Arial" w:hAnsi="Arial" w:cs="Arial"/>
        </w:rPr>
        <w:t xml:space="preserve"> eur</w:t>
      </w:r>
      <w:r w:rsidR="002271DD" w:rsidRPr="00725F7C">
        <w:rPr>
          <w:rFonts w:ascii="Arial" w:hAnsi="Arial" w:cs="Arial"/>
        </w:rPr>
        <w:t>, te je stanje nedospjelog kredita na dan 3</w:t>
      </w:r>
      <w:r w:rsidR="00F72CDA">
        <w:rPr>
          <w:rFonts w:ascii="Arial" w:hAnsi="Arial" w:cs="Arial"/>
        </w:rPr>
        <w:t>1</w:t>
      </w:r>
      <w:r w:rsidR="0066560C" w:rsidRPr="00725F7C">
        <w:rPr>
          <w:rFonts w:ascii="Arial" w:hAnsi="Arial" w:cs="Arial"/>
        </w:rPr>
        <w:t>.</w:t>
      </w:r>
      <w:r w:rsidR="00F72CDA">
        <w:rPr>
          <w:rFonts w:ascii="Arial" w:hAnsi="Arial" w:cs="Arial"/>
        </w:rPr>
        <w:t>12</w:t>
      </w:r>
      <w:r w:rsidR="0066560C" w:rsidRPr="00725F7C">
        <w:rPr>
          <w:rFonts w:ascii="Arial" w:hAnsi="Arial" w:cs="Arial"/>
        </w:rPr>
        <w:t>.</w:t>
      </w:r>
      <w:r w:rsidR="002271DD" w:rsidRPr="00725F7C">
        <w:rPr>
          <w:rFonts w:ascii="Arial" w:hAnsi="Arial" w:cs="Arial"/>
        </w:rPr>
        <w:t>20</w:t>
      </w:r>
      <w:r w:rsidR="00EE2132" w:rsidRPr="00725F7C">
        <w:rPr>
          <w:rFonts w:ascii="Arial" w:hAnsi="Arial" w:cs="Arial"/>
        </w:rPr>
        <w:t>2</w:t>
      </w:r>
      <w:r w:rsidR="00C345A8">
        <w:rPr>
          <w:rFonts w:ascii="Arial" w:hAnsi="Arial" w:cs="Arial"/>
        </w:rPr>
        <w:t>5</w:t>
      </w:r>
      <w:r w:rsidR="002271DD" w:rsidRPr="00725F7C">
        <w:rPr>
          <w:rFonts w:ascii="Arial" w:hAnsi="Arial" w:cs="Arial"/>
        </w:rPr>
        <w:t>. godine iznos</w:t>
      </w:r>
      <w:r w:rsidR="004D58B2" w:rsidRPr="00725F7C">
        <w:rPr>
          <w:rFonts w:ascii="Arial" w:hAnsi="Arial" w:cs="Arial"/>
        </w:rPr>
        <w:t>il</w:t>
      </w:r>
      <w:r w:rsidR="002271DD" w:rsidRPr="00725F7C">
        <w:rPr>
          <w:rFonts w:ascii="Arial" w:hAnsi="Arial" w:cs="Arial"/>
        </w:rPr>
        <w:t xml:space="preserve">o </w:t>
      </w:r>
      <w:r w:rsidR="00C345A8">
        <w:rPr>
          <w:rFonts w:ascii="Arial" w:hAnsi="Arial" w:cs="Arial"/>
        </w:rPr>
        <w:t>107.509,76</w:t>
      </w:r>
      <w:r w:rsidR="00287470">
        <w:rPr>
          <w:rFonts w:ascii="Arial" w:hAnsi="Arial" w:cs="Arial"/>
        </w:rPr>
        <w:t xml:space="preserve"> eur</w:t>
      </w:r>
      <w:r w:rsidR="002271DD" w:rsidRPr="00725F7C">
        <w:rPr>
          <w:rFonts w:ascii="Arial" w:hAnsi="Arial" w:cs="Arial"/>
        </w:rPr>
        <w:t>.</w:t>
      </w:r>
    </w:p>
    <w:p w14:paraId="7DDDF4EC" w14:textId="77777777" w:rsidR="002271DD" w:rsidRPr="00725F7C" w:rsidRDefault="002271DD" w:rsidP="00BC4F5E">
      <w:pPr>
        <w:pStyle w:val="Bezproreda"/>
        <w:jc w:val="both"/>
        <w:rPr>
          <w:rFonts w:ascii="Arial" w:hAnsi="Arial" w:cs="Arial"/>
        </w:rPr>
      </w:pPr>
    </w:p>
    <w:p w14:paraId="4709EEAE" w14:textId="615A8C52" w:rsidR="00251ED5" w:rsidRPr="00725F7C" w:rsidRDefault="00251ED5" w:rsidP="00BC4F5E">
      <w:pPr>
        <w:pStyle w:val="Bezproreda"/>
        <w:jc w:val="both"/>
        <w:rPr>
          <w:rFonts w:ascii="Arial" w:hAnsi="Arial" w:cs="Arial"/>
        </w:rPr>
      </w:pPr>
      <w:r w:rsidRPr="00725F7C">
        <w:rPr>
          <w:rFonts w:ascii="Arial" w:hAnsi="Arial" w:cs="Arial"/>
        </w:rPr>
        <w:t xml:space="preserve">Općina Tkon dugoročno se zadužila kod Erste&amp;Steiermarkische bank d.d., za investicije javnog sektora u suradnji s HBOR-om 14.10.2019. godine na rok od 14 godina bez počeka s povratom kredita u mjesečnim obrocima s datumom dospijeća 30.07.2034. godine u iznosu od </w:t>
      </w:r>
      <w:r w:rsidR="003E07B9">
        <w:rPr>
          <w:rFonts w:ascii="Arial" w:hAnsi="Arial" w:cs="Arial"/>
        </w:rPr>
        <w:t>202.402,28 eur</w:t>
      </w:r>
      <w:r w:rsidRPr="00725F7C">
        <w:rPr>
          <w:rFonts w:ascii="Arial" w:hAnsi="Arial" w:cs="Arial"/>
        </w:rPr>
        <w:t xml:space="preserve">. </w:t>
      </w:r>
      <w:bookmarkStart w:id="4" w:name="_Hlk232578189"/>
      <w:r w:rsidR="006A6F4B" w:rsidRPr="00725F7C">
        <w:rPr>
          <w:rFonts w:ascii="Arial" w:hAnsi="Arial" w:cs="Arial"/>
        </w:rPr>
        <w:t xml:space="preserve">Do </w:t>
      </w:r>
      <w:r w:rsidRPr="00725F7C">
        <w:rPr>
          <w:rFonts w:ascii="Arial" w:hAnsi="Arial" w:cs="Arial"/>
        </w:rPr>
        <w:t>3</w:t>
      </w:r>
      <w:r w:rsidR="00D93B44">
        <w:rPr>
          <w:rFonts w:ascii="Arial" w:hAnsi="Arial" w:cs="Arial"/>
        </w:rPr>
        <w:t>1</w:t>
      </w:r>
      <w:r w:rsidRPr="00725F7C">
        <w:rPr>
          <w:rFonts w:ascii="Arial" w:hAnsi="Arial" w:cs="Arial"/>
        </w:rPr>
        <w:t>.</w:t>
      </w:r>
      <w:r w:rsidR="00D93B44">
        <w:rPr>
          <w:rFonts w:ascii="Arial" w:hAnsi="Arial" w:cs="Arial"/>
        </w:rPr>
        <w:t>12</w:t>
      </w:r>
      <w:r w:rsidRPr="00725F7C">
        <w:rPr>
          <w:rFonts w:ascii="Arial" w:hAnsi="Arial" w:cs="Arial"/>
        </w:rPr>
        <w:t>.202</w:t>
      </w:r>
      <w:r w:rsidR="00C345A8">
        <w:rPr>
          <w:rFonts w:ascii="Arial" w:hAnsi="Arial" w:cs="Arial"/>
        </w:rPr>
        <w:t>5</w:t>
      </w:r>
      <w:r w:rsidRPr="00725F7C">
        <w:rPr>
          <w:rFonts w:ascii="Arial" w:hAnsi="Arial" w:cs="Arial"/>
        </w:rPr>
        <w:t xml:space="preserve">. godine izvršena </w:t>
      </w:r>
      <w:r w:rsidR="006A6F4B" w:rsidRPr="00725F7C">
        <w:rPr>
          <w:rFonts w:ascii="Arial" w:hAnsi="Arial" w:cs="Arial"/>
        </w:rPr>
        <w:t xml:space="preserve">je </w:t>
      </w:r>
      <w:r w:rsidRPr="00725F7C">
        <w:rPr>
          <w:rFonts w:ascii="Arial" w:hAnsi="Arial" w:cs="Arial"/>
        </w:rPr>
        <w:t>otplata</w:t>
      </w:r>
      <w:r w:rsidR="006A6F4B" w:rsidRPr="00725F7C">
        <w:rPr>
          <w:rFonts w:ascii="Arial" w:hAnsi="Arial" w:cs="Arial"/>
        </w:rPr>
        <w:t xml:space="preserve"> kredita u iznosu od </w:t>
      </w:r>
      <w:r w:rsidR="00C345A8">
        <w:rPr>
          <w:rFonts w:ascii="Arial" w:hAnsi="Arial" w:cs="Arial"/>
        </w:rPr>
        <w:t>78.310,56</w:t>
      </w:r>
      <w:r w:rsidR="003E07B9">
        <w:rPr>
          <w:rFonts w:ascii="Arial" w:hAnsi="Arial" w:cs="Arial"/>
        </w:rPr>
        <w:t xml:space="preserve"> eur</w:t>
      </w:r>
      <w:r w:rsidR="006A6F4B" w:rsidRPr="00725F7C">
        <w:rPr>
          <w:rFonts w:ascii="Arial" w:hAnsi="Arial" w:cs="Arial"/>
        </w:rPr>
        <w:t>, te je stanje nedospjelog kredita na dan 3</w:t>
      </w:r>
      <w:r w:rsidR="00D93B44">
        <w:rPr>
          <w:rFonts w:ascii="Arial" w:hAnsi="Arial" w:cs="Arial"/>
        </w:rPr>
        <w:t>1</w:t>
      </w:r>
      <w:r w:rsidR="006A6F4B" w:rsidRPr="00725F7C">
        <w:rPr>
          <w:rFonts w:ascii="Arial" w:hAnsi="Arial" w:cs="Arial"/>
        </w:rPr>
        <w:t>.</w:t>
      </w:r>
      <w:r w:rsidR="00D93B44">
        <w:rPr>
          <w:rFonts w:ascii="Arial" w:hAnsi="Arial" w:cs="Arial"/>
        </w:rPr>
        <w:t>12</w:t>
      </w:r>
      <w:r w:rsidR="006A6F4B" w:rsidRPr="00725F7C">
        <w:rPr>
          <w:rFonts w:ascii="Arial" w:hAnsi="Arial" w:cs="Arial"/>
        </w:rPr>
        <w:t>.202</w:t>
      </w:r>
      <w:r w:rsidR="00C345A8">
        <w:rPr>
          <w:rFonts w:ascii="Arial" w:hAnsi="Arial" w:cs="Arial"/>
        </w:rPr>
        <w:t>5</w:t>
      </w:r>
      <w:r w:rsidR="006A6F4B" w:rsidRPr="00725F7C">
        <w:rPr>
          <w:rFonts w:ascii="Arial" w:hAnsi="Arial" w:cs="Arial"/>
        </w:rPr>
        <w:t xml:space="preserve">. godine iznosilo </w:t>
      </w:r>
      <w:r w:rsidR="00C345A8">
        <w:rPr>
          <w:rFonts w:ascii="Arial" w:hAnsi="Arial" w:cs="Arial"/>
        </w:rPr>
        <w:t>124.091,71</w:t>
      </w:r>
      <w:r w:rsidR="003E07B9">
        <w:rPr>
          <w:rFonts w:ascii="Arial" w:hAnsi="Arial" w:cs="Arial"/>
        </w:rPr>
        <w:t xml:space="preserve"> eur</w:t>
      </w:r>
      <w:r w:rsidRPr="00725F7C">
        <w:rPr>
          <w:rFonts w:ascii="Arial" w:hAnsi="Arial" w:cs="Arial"/>
        </w:rPr>
        <w:t>.</w:t>
      </w:r>
    </w:p>
    <w:p w14:paraId="6316673E" w14:textId="77777777" w:rsidR="00D3728D" w:rsidRPr="00725F7C" w:rsidRDefault="00D3728D" w:rsidP="00BC4F5E">
      <w:pPr>
        <w:pStyle w:val="Bezproreda"/>
        <w:jc w:val="both"/>
        <w:rPr>
          <w:rFonts w:ascii="Arial" w:hAnsi="Arial" w:cs="Arial"/>
        </w:rPr>
      </w:pPr>
    </w:p>
    <w:bookmarkEnd w:id="4"/>
    <w:p w14:paraId="70A314F5" w14:textId="5B1C4473" w:rsidR="0048363D" w:rsidRPr="00725F7C" w:rsidRDefault="003E07B9" w:rsidP="00BC4F5E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Općina Tkon</w:t>
      </w:r>
      <w:r w:rsidR="00652608" w:rsidRPr="00725F7C">
        <w:rPr>
          <w:rFonts w:ascii="Arial" w:hAnsi="Arial" w:cs="Arial"/>
        </w:rPr>
        <w:t xml:space="preserve"> kratkoročno </w:t>
      </w:r>
      <w:r>
        <w:rPr>
          <w:rFonts w:ascii="Arial" w:hAnsi="Arial" w:cs="Arial"/>
        </w:rPr>
        <w:t xml:space="preserve">se </w:t>
      </w:r>
      <w:r w:rsidR="00652608" w:rsidRPr="00725F7C">
        <w:rPr>
          <w:rFonts w:ascii="Arial" w:hAnsi="Arial" w:cs="Arial"/>
        </w:rPr>
        <w:t>zadužila kod Erste&amp;Steiermarkische bank d.d. te sklopila ugovor</w:t>
      </w:r>
      <w:r w:rsidR="00373964">
        <w:rPr>
          <w:rFonts w:ascii="Arial" w:hAnsi="Arial" w:cs="Arial"/>
        </w:rPr>
        <w:t xml:space="preserve"> i Anex broj 1 ugovora</w:t>
      </w:r>
      <w:r w:rsidR="00652608" w:rsidRPr="00725F7C">
        <w:rPr>
          <w:rFonts w:ascii="Arial" w:hAnsi="Arial" w:cs="Arial"/>
        </w:rPr>
        <w:t xml:space="preserve"> za revolving kredit u iznosu od </w:t>
      </w:r>
      <w:r w:rsidR="00373964">
        <w:rPr>
          <w:rFonts w:ascii="Arial" w:hAnsi="Arial" w:cs="Arial"/>
        </w:rPr>
        <w:t>3</w:t>
      </w:r>
      <w:r w:rsidR="00E41FD8">
        <w:rPr>
          <w:rFonts w:ascii="Arial" w:hAnsi="Arial" w:cs="Arial"/>
        </w:rPr>
        <w:t>0.000,00</w:t>
      </w:r>
      <w:r>
        <w:rPr>
          <w:rFonts w:ascii="Arial" w:hAnsi="Arial" w:cs="Arial"/>
        </w:rPr>
        <w:t xml:space="preserve"> eur</w:t>
      </w:r>
      <w:r w:rsidR="00652608" w:rsidRPr="00725F7C">
        <w:rPr>
          <w:rFonts w:ascii="Arial" w:hAnsi="Arial" w:cs="Arial"/>
        </w:rPr>
        <w:t xml:space="preserve"> na rok od 12 mjeseci i to od </w:t>
      </w:r>
      <w:r w:rsidR="00373964">
        <w:rPr>
          <w:rFonts w:ascii="Arial" w:hAnsi="Arial" w:cs="Arial"/>
        </w:rPr>
        <w:t>04</w:t>
      </w:r>
      <w:r w:rsidR="00E41FD8">
        <w:rPr>
          <w:rFonts w:ascii="Arial" w:hAnsi="Arial" w:cs="Arial"/>
        </w:rPr>
        <w:t>.0</w:t>
      </w:r>
      <w:r w:rsidR="00373964">
        <w:rPr>
          <w:rFonts w:ascii="Arial" w:hAnsi="Arial" w:cs="Arial"/>
        </w:rPr>
        <w:t>2</w:t>
      </w:r>
      <w:r w:rsidR="00E41FD8">
        <w:rPr>
          <w:rFonts w:ascii="Arial" w:hAnsi="Arial" w:cs="Arial"/>
        </w:rPr>
        <w:t>.202</w:t>
      </w:r>
      <w:r w:rsidR="00373964">
        <w:rPr>
          <w:rFonts w:ascii="Arial" w:hAnsi="Arial" w:cs="Arial"/>
        </w:rPr>
        <w:t>5</w:t>
      </w:r>
      <w:r w:rsidR="00E41FD8">
        <w:rPr>
          <w:rFonts w:ascii="Arial" w:hAnsi="Arial" w:cs="Arial"/>
        </w:rPr>
        <w:t>.</w:t>
      </w:r>
      <w:r w:rsidR="00652608" w:rsidRPr="00725F7C">
        <w:rPr>
          <w:rFonts w:ascii="Arial" w:hAnsi="Arial" w:cs="Arial"/>
        </w:rPr>
        <w:t xml:space="preserve"> do 0</w:t>
      </w:r>
      <w:r w:rsidR="00373964">
        <w:rPr>
          <w:rFonts w:ascii="Arial" w:hAnsi="Arial" w:cs="Arial"/>
        </w:rPr>
        <w:t>3</w:t>
      </w:r>
      <w:r w:rsidR="00ED5CF1" w:rsidRPr="00725F7C">
        <w:rPr>
          <w:rFonts w:ascii="Arial" w:hAnsi="Arial" w:cs="Arial"/>
        </w:rPr>
        <w:t>.02.202</w:t>
      </w:r>
      <w:r w:rsidR="00373964">
        <w:rPr>
          <w:rFonts w:ascii="Arial" w:hAnsi="Arial" w:cs="Arial"/>
        </w:rPr>
        <w:t>6</w:t>
      </w:r>
      <w:r w:rsidR="00652608" w:rsidRPr="00725F7C">
        <w:rPr>
          <w:rFonts w:ascii="Arial" w:hAnsi="Arial" w:cs="Arial"/>
        </w:rPr>
        <w:t>.,</w:t>
      </w:r>
      <w:r w:rsidR="00CD733B" w:rsidRPr="00725F7C">
        <w:rPr>
          <w:rFonts w:ascii="Arial" w:hAnsi="Arial" w:cs="Arial"/>
        </w:rPr>
        <w:t xml:space="preserve"> </w:t>
      </w:r>
      <w:r w:rsidR="00652608" w:rsidRPr="00725F7C">
        <w:rPr>
          <w:rFonts w:ascii="Arial" w:hAnsi="Arial" w:cs="Arial"/>
        </w:rPr>
        <w:t>za premošćivanje jaza nastalog zbog različite dinamike priljeva sredstava i dospijeća obveza.</w:t>
      </w:r>
      <w:r w:rsidR="00B05CD2" w:rsidRPr="00725F7C">
        <w:rPr>
          <w:rFonts w:ascii="Arial" w:hAnsi="Arial" w:cs="Arial"/>
        </w:rPr>
        <w:t xml:space="preserve"> </w:t>
      </w:r>
      <w:r w:rsidR="00536FFA" w:rsidRPr="00725F7C">
        <w:rPr>
          <w:rFonts w:ascii="Arial" w:hAnsi="Arial" w:cs="Arial"/>
        </w:rPr>
        <w:t>Do 3</w:t>
      </w:r>
      <w:r w:rsidR="00D93B44">
        <w:rPr>
          <w:rFonts w:ascii="Arial" w:hAnsi="Arial" w:cs="Arial"/>
        </w:rPr>
        <w:t>1</w:t>
      </w:r>
      <w:r w:rsidR="00536FFA" w:rsidRPr="00725F7C">
        <w:rPr>
          <w:rFonts w:ascii="Arial" w:hAnsi="Arial" w:cs="Arial"/>
        </w:rPr>
        <w:t>.</w:t>
      </w:r>
      <w:r w:rsidR="00D93B44">
        <w:rPr>
          <w:rFonts w:ascii="Arial" w:hAnsi="Arial" w:cs="Arial"/>
        </w:rPr>
        <w:t>12</w:t>
      </w:r>
      <w:r w:rsidR="00536FFA" w:rsidRPr="00725F7C">
        <w:rPr>
          <w:rFonts w:ascii="Arial" w:hAnsi="Arial" w:cs="Arial"/>
        </w:rPr>
        <w:t>.20</w:t>
      </w:r>
      <w:r w:rsidR="00CD733B" w:rsidRPr="00725F7C">
        <w:rPr>
          <w:rFonts w:ascii="Arial" w:hAnsi="Arial" w:cs="Arial"/>
        </w:rPr>
        <w:t>2</w:t>
      </w:r>
      <w:r w:rsidR="00373964">
        <w:rPr>
          <w:rFonts w:ascii="Arial" w:hAnsi="Arial" w:cs="Arial"/>
        </w:rPr>
        <w:t>5</w:t>
      </w:r>
      <w:r w:rsidR="00536FFA" w:rsidRPr="00725F7C">
        <w:rPr>
          <w:rFonts w:ascii="Arial" w:hAnsi="Arial" w:cs="Arial"/>
        </w:rPr>
        <w:t>.</w:t>
      </w:r>
      <w:r w:rsidR="00B05CD2" w:rsidRPr="00725F7C">
        <w:rPr>
          <w:rFonts w:ascii="Arial" w:hAnsi="Arial" w:cs="Arial"/>
        </w:rPr>
        <w:t xml:space="preserve"> godine </w:t>
      </w:r>
      <w:r w:rsidR="00373964">
        <w:rPr>
          <w:rFonts w:ascii="Arial" w:hAnsi="Arial" w:cs="Arial"/>
        </w:rPr>
        <w:t>nije bilo otplate</w:t>
      </w:r>
      <w:r w:rsidR="00B05CD2" w:rsidRPr="00725F7C">
        <w:rPr>
          <w:rFonts w:ascii="Arial" w:hAnsi="Arial" w:cs="Arial"/>
        </w:rPr>
        <w:t>, te je stanje nedospjel</w:t>
      </w:r>
      <w:r w:rsidR="00CD733B" w:rsidRPr="00725F7C">
        <w:rPr>
          <w:rFonts w:ascii="Arial" w:hAnsi="Arial" w:cs="Arial"/>
        </w:rPr>
        <w:t>og</w:t>
      </w:r>
      <w:r w:rsidR="00B05CD2" w:rsidRPr="00725F7C">
        <w:rPr>
          <w:rFonts w:ascii="Arial" w:hAnsi="Arial" w:cs="Arial"/>
        </w:rPr>
        <w:t xml:space="preserve"> kratkoročn</w:t>
      </w:r>
      <w:r w:rsidR="00CD733B" w:rsidRPr="00725F7C">
        <w:rPr>
          <w:rFonts w:ascii="Arial" w:hAnsi="Arial" w:cs="Arial"/>
        </w:rPr>
        <w:t>og</w:t>
      </w:r>
      <w:r w:rsidR="00B05CD2" w:rsidRPr="00725F7C">
        <w:rPr>
          <w:rFonts w:ascii="Arial" w:hAnsi="Arial" w:cs="Arial"/>
        </w:rPr>
        <w:t xml:space="preserve"> kredita na dan 3</w:t>
      </w:r>
      <w:r w:rsidR="00D93B44">
        <w:rPr>
          <w:rFonts w:ascii="Arial" w:hAnsi="Arial" w:cs="Arial"/>
        </w:rPr>
        <w:t>1</w:t>
      </w:r>
      <w:r w:rsidR="00B05CD2" w:rsidRPr="00725F7C">
        <w:rPr>
          <w:rFonts w:ascii="Arial" w:hAnsi="Arial" w:cs="Arial"/>
        </w:rPr>
        <w:t>.</w:t>
      </w:r>
      <w:r w:rsidR="00D93B44">
        <w:rPr>
          <w:rFonts w:ascii="Arial" w:hAnsi="Arial" w:cs="Arial"/>
        </w:rPr>
        <w:t>12</w:t>
      </w:r>
      <w:r w:rsidR="00B05CD2" w:rsidRPr="00725F7C">
        <w:rPr>
          <w:rFonts w:ascii="Arial" w:hAnsi="Arial" w:cs="Arial"/>
        </w:rPr>
        <w:t>.20</w:t>
      </w:r>
      <w:r w:rsidR="00CD733B" w:rsidRPr="00725F7C">
        <w:rPr>
          <w:rFonts w:ascii="Arial" w:hAnsi="Arial" w:cs="Arial"/>
        </w:rPr>
        <w:t>2</w:t>
      </w:r>
      <w:r w:rsidR="00373964">
        <w:rPr>
          <w:rFonts w:ascii="Arial" w:hAnsi="Arial" w:cs="Arial"/>
        </w:rPr>
        <w:t>5</w:t>
      </w:r>
      <w:r w:rsidR="00B05CD2" w:rsidRPr="00725F7C">
        <w:rPr>
          <w:rFonts w:ascii="Arial" w:hAnsi="Arial" w:cs="Arial"/>
        </w:rPr>
        <w:t xml:space="preserve">. godine iznosilo </w:t>
      </w:r>
      <w:r w:rsidR="00E41FD8">
        <w:rPr>
          <w:rFonts w:ascii="Arial" w:hAnsi="Arial" w:cs="Arial"/>
        </w:rPr>
        <w:t>3</w:t>
      </w:r>
      <w:r w:rsidR="00D93B44">
        <w:rPr>
          <w:rFonts w:ascii="Arial" w:hAnsi="Arial" w:cs="Arial"/>
        </w:rPr>
        <w:t>0.000,00</w:t>
      </w:r>
      <w:r>
        <w:rPr>
          <w:rFonts w:ascii="Arial" w:hAnsi="Arial" w:cs="Arial"/>
        </w:rPr>
        <w:t xml:space="preserve"> eur</w:t>
      </w:r>
      <w:r w:rsidR="00B05CD2" w:rsidRPr="00725F7C">
        <w:rPr>
          <w:rFonts w:ascii="Arial" w:hAnsi="Arial" w:cs="Arial"/>
        </w:rPr>
        <w:t>.</w:t>
      </w:r>
    </w:p>
    <w:p w14:paraId="3B67DE49" w14:textId="77777777" w:rsidR="00B05CD2" w:rsidRPr="00725F7C" w:rsidRDefault="00B05CD2" w:rsidP="00BC4F5E">
      <w:pPr>
        <w:pStyle w:val="Bezproreda"/>
        <w:jc w:val="both"/>
        <w:rPr>
          <w:rFonts w:ascii="Arial" w:hAnsi="Arial" w:cs="Arial"/>
          <w:b/>
          <w:u w:val="single"/>
        </w:rPr>
      </w:pPr>
    </w:p>
    <w:p w14:paraId="2507E8B5" w14:textId="54F3E949" w:rsidR="007B30E4" w:rsidRDefault="00F82201" w:rsidP="007B30E4">
      <w:pPr>
        <w:rPr>
          <w:rFonts w:ascii="Arial" w:hAnsi="Arial" w:cs="Arial"/>
        </w:rPr>
      </w:pPr>
      <w:r w:rsidRPr="00725F7C">
        <w:rPr>
          <w:rFonts w:ascii="Arial" w:hAnsi="Arial" w:cs="Arial"/>
        </w:rPr>
        <w:t xml:space="preserve">Općina Tkon sklopila je Ugovor o </w:t>
      </w:r>
      <w:r w:rsidR="0058673C">
        <w:rPr>
          <w:rFonts w:ascii="Arial" w:hAnsi="Arial" w:cs="Arial"/>
        </w:rPr>
        <w:t>kratkoročnom kreditu za financiranje obrtnih sredstava</w:t>
      </w:r>
      <w:r w:rsidRPr="00725F7C">
        <w:rPr>
          <w:rFonts w:ascii="Arial" w:hAnsi="Arial" w:cs="Arial"/>
        </w:rPr>
        <w:t xml:space="preserve"> dana </w:t>
      </w:r>
      <w:r w:rsidR="007B30E4">
        <w:rPr>
          <w:rFonts w:ascii="Arial" w:hAnsi="Arial" w:cs="Arial"/>
        </w:rPr>
        <w:t>28</w:t>
      </w:r>
      <w:r w:rsidR="0058673C">
        <w:rPr>
          <w:rFonts w:ascii="Arial" w:hAnsi="Arial" w:cs="Arial"/>
        </w:rPr>
        <w:t>.0</w:t>
      </w:r>
      <w:r w:rsidR="00E41FD8">
        <w:rPr>
          <w:rFonts w:ascii="Arial" w:hAnsi="Arial" w:cs="Arial"/>
        </w:rPr>
        <w:t>5</w:t>
      </w:r>
      <w:r w:rsidR="0058673C">
        <w:rPr>
          <w:rFonts w:ascii="Arial" w:hAnsi="Arial" w:cs="Arial"/>
        </w:rPr>
        <w:t>.202</w:t>
      </w:r>
      <w:r w:rsidR="007B30E4">
        <w:rPr>
          <w:rFonts w:ascii="Arial" w:hAnsi="Arial" w:cs="Arial"/>
        </w:rPr>
        <w:t>5</w:t>
      </w:r>
      <w:r w:rsidR="0058673C">
        <w:rPr>
          <w:rFonts w:ascii="Arial" w:hAnsi="Arial" w:cs="Arial"/>
        </w:rPr>
        <w:t>.</w:t>
      </w:r>
      <w:r w:rsidRPr="00725F7C">
        <w:rPr>
          <w:rFonts w:ascii="Arial" w:hAnsi="Arial" w:cs="Arial"/>
        </w:rPr>
        <w:t xml:space="preserve"> godine s Erste&amp;Steiermarkische bank d.d. </w:t>
      </w:r>
      <w:r w:rsidR="0058673C">
        <w:rPr>
          <w:rFonts w:ascii="Arial" w:hAnsi="Arial" w:cs="Arial"/>
        </w:rPr>
        <w:t>s ro</w:t>
      </w:r>
      <w:r w:rsidRPr="00725F7C">
        <w:rPr>
          <w:rFonts w:ascii="Arial" w:hAnsi="Arial" w:cs="Arial"/>
        </w:rPr>
        <w:t xml:space="preserve">kom povrata do </w:t>
      </w:r>
      <w:r w:rsidR="00AE56D8">
        <w:rPr>
          <w:rFonts w:ascii="Arial" w:hAnsi="Arial" w:cs="Arial"/>
        </w:rPr>
        <w:t>15.</w:t>
      </w:r>
      <w:r w:rsidR="007B30E4">
        <w:rPr>
          <w:rFonts w:ascii="Arial" w:hAnsi="Arial" w:cs="Arial"/>
        </w:rPr>
        <w:t>06</w:t>
      </w:r>
      <w:r w:rsidR="00AE56D8">
        <w:rPr>
          <w:rFonts w:ascii="Arial" w:hAnsi="Arial" w:cs="Arial"/>
        </w:rPr>
        <w:t>.202</w:t>
      </w:r>
      <w:r w:rsidR="007B30E4">
        <w:rPr>
          <w:rFonts w:ascii="Arial" w:hAnsi="Arial" w:cs="Arial"/>
        </w:rPr>
        <w:t>6</w:t>
      </w:r>
      <w:r w:rsidRPr="00725F7C">
        <w:rPr>
          <w:rFonts w:ascii="Arial" w:hAnsi="Arial" w:cs="Arial"/>
        </w:rPr>
        <w:t>. godine.</w:t>
      </w:r>
      <w:r w:rsidR="007B30E4">
        <w:rPr>
          <w:rFonts w:ascii="Arial" w:hAnsi="Arial" w:cs="Arial"/>
        </w:rPr>
        <w:t xml:space="preserve"> </w:t>
      </w:r>
      <w:r w:rsidR="007B30E4" w:rsidRPr="007B30E4">
        <w:rPr>
          <w:rFonts w:ascii="Arial" w:hAnsi="Arial" w:cs="Arial"/>
        </w:rPr>
        <w:t xml:space="preserve">Do 31.12.2025. godine izvršena je otplata kredita u iznosu od </w:t>
      </w:r>
      <w:r w:rsidR="007B30E4">
        <w:rPr>
          <w:rFonts w:ascii="Arial" w:hAnsi="Arial" w:cs="Arial"/>
        </w:rPr>
        <w:t>40.000,02</w:t>
      </w:r>
      <w:r w:rsidR="007B30E4" w:rsidRPr="007B30E4">
        <w:rPr>
          <w:rFonts w:ascii="Arial" w:hAnsi="Arial" w:cs="Arial"/>
        </w:rPr>
        <w:t xml:space="preserve"> eur, te je stanje nedospjelog kredita na dan 31.12.2025. godine iznosilo </w:t>
      </w:r>
      <w:r w:rsidR="007B30E4">
        <w:rPr>
          <w:rFonts w:ascii="Arial" w:hAnsi="Arial" w:cs="Arial"/>
        </w:rPr>
        <w:t>39.999,98</w:t>
      </w:r>
      <w:r w:rsidR="007B30E4" w:rsidRPr="007B30E4">
        <w:rPr>
          <w:rFonts w:ascii="Arial" w:hAnsi="Arial" w:cs="Arial"/>
        </w:rPr>
        <w:t xml:space="preserve"> eur.</w:t>
      </w:r>
    </w:p>
    <w:p w14:paraId="5AD820E1" w14:textId="2CDBA2A1" w:rsidR="00321A2C" w:rsidRPr="007B30E4" w:rsidRDefault="00321A2C" w:rsidP="007B30E4">
      <w:pPr>
        <w:rPr>
          <w:rFonts w:ascii="Arial" w:hAnsi="Arial" w:cs="Arial"/>
        </w:rPr>
      </w:pPr>
      <w:r w:rsidRPr="00321A2C">
        <w:rPr>
          <w:rFonts w:ascii="Arial" w:hAnsi="Arial" w:cs="Arial"/>
        </w:rPr>
        <w:t xml:space="preserve">Općina Tkon sklopila je Ugovor o </w:t>
      </w:r>
      <w:r>
        <w:rPr>
          <w:rFonts w:ascii="Arial" w:hAnsi="Arial" w:cs="Arial"/>
        </w:rPr>
        <w:t>pozajmici s Orlić d.o.o</w:t>
      </w:r>
      <w:r w:rsidRPr="00321A2C">
        <w:rPr>
          <w:rFonts w:ascii="Arial" w:hAnsi="Arial" w:cs="Arial"/>
        </w:rPr>
        <w:t>.  u iznosu od 45.000,00 eur</w:t>
      </w:r>
      <w:r>
        <w:t xml:space="preserve"> </w:t>
      </w:r>
      <w:r w:rsidRPr="00321A2C">
        <w:rPr>
          <w:rFonts w:ascii="Arial" w:hAnsi="Arial" w:cs="Arial"/>
        </w:rPr>
        <w:t>dana 09.12.2025. godine s rokom povrata do 31.12.2025. godine</w:t>
      </w:r>
      <w:r>
        <w:rPr>
          <w:rFonts w:ascii="Arial" w:hAnsi="Arial" w:cs="Arial"/>
        </w:rPr>
        <w:t xml:space="preserve">, </w:t>
      </w:r>
      <w:r w:rsidRPr="00321A2C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podmirenje obveza po projektu „Igralište Kušnjak“. Do 31.12.2025. godine ministarstvo nije uplatilo odobreni iznos sredstava za navedeni projekt, već su ista uplaćena u 2026. godini, tako da do</w:t>
      </w:r>
      <w:r w:rsidRPr="00321A2C">
        <w:rPr>
          <w:rFonts w:ascii="Arial" w:hAnsi="Arial" w:cs="Arial"/>
        </w:rPr>
        <w:t xml:space="preserve"> 31.12.2025. godine </w:t>
      </w:r>
      <w:r>
        <w:rPr>
          <w:rFonts w:ascii="Arial" w:hAnsi="Arial" w:cs="Arial"/>
        </w:rPr>
        <w:t xml:space="preserve">nije </w:t>
      </w:r>
      <w:r w:rsidRPr="00321A2C">
        <w:rPr>
          <w:rFonts w:ascii="Arial" w:hAnsi="Arial" w:cs="Arial"/>
        </w:rPr>
        <w:t xml:space="preserve">izvršena otplata </w:t>
      </w:r>
      <w:r>
        <w:rPr>
          <w:rFonts w:ascii="Arial" w:hAnsi="Arial" w:cs="Arial"/>
        </w:rPr>
        <w:t>pozajmice</w:t>
      </w:r>
      <w:r w:rsidRPr="00321A2C">
        <w:rPr>
          <w:rFonts w:ascii="Arial" w:hAnsi="Arial" w:cs="Arial"/>
        </w:rPr>
        <w:t xml:space="preserve"> te je stanje </w:t>
      </w:r>
      <w:r>
        <w:rPr>
          <w:rFonts w:ascii="Arial" w:hAnsi="Arial" w:cs="Arial"/>
        </w:rPr>
        <w:t>pozajmice</w:t>
      </w:r>
      <w:r w:rsidRPr="00321A2C">
        <w:rPr>
          <w:rFonts w:ascii="Arial" w:hAnsi="Arial" w:cs="Arial"/>
        </w:rPr>
        <w:t xml:space="preserve"> na dan 31.12.2025. godine iznosilo </w:t>
      </w:r>
      <w:r>
        <w:rPr>
          <w:rFonts w:ascii="Arial" w:hAnsi="Arial" w:cs="Arial"/>
        </w:rPr>
        <w:t>45.000,00</w:t>
      </w:r>
      <w:r w:rsidRPr="00321A2C">
        <w:rPr>
          <w:rFonts w:ascii="Arial" w:hAnsi="Arial" w:cs="Arial"/>
        </w:rPr>
        <w:t xml:space="preserve"> eur.</w:t>
      </w:r>
    </w:p>
    <w:p w14:paraId="0CA7CE87" w14:textId="763EA6BC" w:rsidR="00F2088D" w:rsidRPr="00725F7C" w:rsidRDefault="00F2088D" w:rsidP="0041630A">
      <w:pPr>
        <w:rPr>
          <w:rFonts w:ascii="Arial" w:hAnsi="Arial" w:cs="Arial"/>
        </w:rPr>
      </w:pPr>
      <w:bookmarkStart w:id="5" w:name="_Hlk193095015"/>
      <w:r w:rsidRPr="00F2088D">
        <w:rPr>
          <w:rFonts w:ascii="Arial" w:hAnsi="Arial" w:cs="Arial"/>
        </w:rPr>
        <w:t xml:space="preserve">Ministarstvo financija dodijelilo je Općini Tkon beskamatni zajam za odgođeno plaćanje. </w:t>
      </w:r>
      <w:r w:rsidR="00321A2C">
        <w:rPr>
          <w:rFonts w:ascii="Arial" w:hAnsi="Arial" w:cs="Arial"/>
        </w:rPr>
        <w:t>U 2025 godini otplaćena su sredstva u iznosu od 1.329,07 eur</w:t>
      </w:r>
      <w:r w:rsidR="00D614BF">
        <w:rPr>
          <w:rFonts w:ascii="Arial" w:hAnsi="Arial" w:cs="Arial"/>
        </w:rPr>
        <w:t xml:space="preserve"> tako da je s</w:t>
      </w:r>
      <w:r w:rsidRPr="00F2088D">
        <w:rPr>
          <w:rFonts w:ascii="Arial" w:hAnsi="Arial" w:cs="Arial"/>
        </w:rPr>
        <w:t xml:space="preserve">tanje nedospjelog beskamatnog zajma na dan </w:t>
      </w:r>
      <w:r w:rsidR="006D3BE4">
        <w:rPr>
          <w:rFonts w:ascii="Arial" w:hAnsi="Arial" w:cs="Arial"/>
        </w:rPr>
        <w:t>31</w:t>
      </w:r>
      <w:r w:rsidRPr="00F2088D">
        <w:rPr>
          <w:rFonts w:ascii="Arial" w:hAnsi="Arial" w:cs="Arial"/>
        </w:rPr>
        <w:t>.</w:t>
      </w:r>
      <w:r w:rsidR="006D3BE4">
        <w:rPr>
          <w:rFonts w:ascii="Arial" w:hAnsi="Arial" w:cs="Arial"/>
        </w:rPr>
        <w:t>12</w:t>
      </w:r>
      <w:r w:rsidRPr="00F2088D">
        <w:rPr>
          <w:rFonts w:ascii="Arial" w:hAnsi="Arial" w:cs="Arial"/>
        </w:rPr>
        <w:t>.202</w:t>
      </w:r>
      <w:r w:rsidR="00321A2C">
        <w:rPr>
          <w:rFonts w:ascii="Arial" w:hAnsi="Arial" w:cs="Arial"/>
        </w:rPr>
        <w:t>5</w:t>
      </w:r>
      <w:r w:rsidRPr="00F2088D">
        <w:rPr>
          <w:rFonts w:ascii="Arial" w:hAnsi="Arial" w:cs="Arial"/>
        </w:rPr>
        <w:t xml:space="preserve">. godine iznosilo je </w:t>
      </w:r>
      <w:r w:rsidR="00D614BF">
        <w:rPr>
          <w:rFonts w:ascii="Arial" w:hAnsi="Arial" w:cs="Arial"/>
        </w:rPr>
        <w:t>2.658,14</w:t>
      </w:r>
      <w:r w:rsidRPr="00F2088D">
        <w:rPr>
          <w:rFonts w:ascii="Arial" w:hAnsi="Arial" w:cs="Arial"/>
        </w:rPr>
        <w:t xml:space="preserve"> eur.</w:t>
      </w:r>
    </w:p>
    <w:bookmarkEnd w:id="5"/>
    <w:p w14:paraId="53715016" w14:textId="7D4BD1D4" w:rsidR="0042215C" w:rsidRDefault="0042215C" w:rsidP="00BC4F5E">
      <w:pPr>
        <w:pStyle w:val="Bezproreda"/>
        <w:jc w:val="both"/>
        <w:rPr>
          <w:rFonts w:ascii="Arial" w:hAnsi="Arial" w:cs="Arial"/>
        </w:rPr>
      </w:pPr>
      <w:r w:rsidRPr="00725F7C">
        <w:rPr>
          <w:rFonts w:ascii="Arial" w:hAnsi="Arial" w:cs="Arial"/>
        </w:rPr>
        <w:t xml:space="preserve">Ukupne nedospjele obveze po </w:t>
      </w:r>
      <w:r w:rsidR="0058673C">
        <w:rPr>
          <w:rFonts w:ascii="Arial" w:hAnsi="Arial" w:cs="Arial"/>
        </w:rPr>
        <w:t xml:space="preserve">dugoročnim i kratkoročnim </w:t>
      </w:r>
      <w:r w:rsidRPr="00725F7C">
        <w:rPr>
          <w:rFonts w:ascii="Arial" w:hAnsi="Arial" w:cs="Arial"/>
        </w:rPr>
        <w:t>kreditima</w:t>
      </w:r>
      <w:r w:rsidR="0058673C">
        <w:rPr>
          <w:rFonts w:ascii="Arial" w:hAnsi="Arial" w:cs="Arial"/>
        </w:rPr>
        <w:t xml:space="preserve"> te</w:t>
      </w:r>
      <w:r w:rsidRPr="00725F7C">
        <w:rPr>
          <w:rFonts w:ascii="Arial" w:hAnsi="Arial" w:cs="Arial"/>
        </w:rPr>
        <w:t xml:space="preserve"> </w:t>
      </w:r>
      <w:r w:rsidR="0041630A" w:rsidRPr="00725F7C">
        <w:rPr>
          <w:rFonts w:ascii="Arial" w:hAnsi="Arial" w:cs="Arial"/>
        </w:rPr>
        <w:t>zajmovima</w:t>
      </w:r>
      <w:r w:rsidR="00F2088D">
        <w:rPr>
          <w:rFonts w:ascii="Arial" w:hAnsi="Arial" w:cs="Arial"/>
        </w:rPr>
        <w:t xml:space="preserve"> </w:t>
      </w:r>
      <w:r w:rsidRPr="00725F7C">
        <w:rPr>
          <w:rFonts w:ascii="Arial" w:hAnsi="Arial" w:cs="Arial"/>
        </w:rPr>
        <w:t>na dan 3</w:t>
      </w:r>
      <w:r w:rsidR="004C0800">
        <w:rPr>
          <w:rFonts w:ascii="Arial" w:hAnsi="Arial" w:cs="Arial"/>
        </w:rPr>
        <w:t>1</w:t>
      </w:r>
      <w:r w:rsidRPr="00725F7C">
        <w:rPr>
          <w:rFonts w:ascii="Arial" w:hAnsi="Arial" w:cs="Arial"/>
        </w:rPr>
        <w:t>.</w:t>
      </w:r>
      <w:r w:rsidR="004C0800">
        <w:rPr>
          <w:rFonts w:ascii="Arial" w:hAnsi="Arial" w:cs="Arial"/>
        </w:rPr>
        <w:t>12</w:t>
      </w:r>
      <w:r w:rsidRPr="00725F7C">
        <w:rPr>
          <w:rFonts w:ascii="Arial" w:hAnsi="Arial" w:cs="Arial"/>
        </w:rPr>
        <w:t>.202</w:t>
      </w:r>
      <w:r w:rsidR="00D614BF">
        <w:rPr>
          <w:rFonts w:ascii="Arial" w:hAnsi="Arial" w:cs="Arial"/>
        </w:rPr>
        <w:t>5</w:t>
      </w:r>
      <w:r w:rsidRPr="00725F7C">
        <w:rPr>
          <w:rFonts w:ascii="Arial" w:hAnsi="Arial" w:cs="Arial"/>
        </w:rPr>
        <w:t xml:space="preserve">. godine iznosile su </w:t>
      </w:r>
      <w:r w:rsidR="00D614BF">
        <w:rPr>
          <w:rFonts w:ascii="Arial" w:hAnsi="Arial" w:cs="Arial"/>
        </w:rPr>
        <w:t>349.</w:t>
      </w:r>
      <w:r w:rsidR="008A131E">
        <w:rPr>
          <w:rFonts w:ascii="Arial" w:hAnsi="Arial" w:cs="Arial"/>
        </w:rPr>
        <w:t>259,</w:t>
      </w:r>
      <w:r w:rsidR="00790FD1">
        <w:rPr>
          <w:rFonts w:ascii="Arial" w:hAnsi="Arial" w:cs="Arial"/>
        </w:rPr>
        <w:t>60</w:t>
      </w:r>
      <w:r w:rsidR="00F2088D">
        <w:rPr>
          <w:rFonts w:ascii="Arial" w:hAnsi="Arial" w:cs="Arial"/>
        </w:rPr>
        <w:t xml:space="preserve"> eur</w:t>
      </w:r>
      <w:r w:rsidRPr="00725F7C">
        <w:rPr>
          <w:rFonts w:ascii="Arial" w:hAnsi="Arial" w:cs="Arial"/>
        </w:rPr>
        <w:t>.</w:t>
      </w:r>
    </w:p>
    <w:p w14:paraId="48F16D34" w14:textId="77777777" w:rsidR="00FB7D8B" w:rsidRPr="00725F7C" w:rsidRDefault="00FB7D8B" w:rsidP="00BC4F5E">
      <w:pPr>
        <w:pStyle w:val="Bezproreda"/>
        <w:jc w:val="both"/>
        <w:rPr>
          <w:rFonts w:ascii="Arial" w:hAnsi="Arial" w:cs="Arial"/>
        </w:rPr>
      </w:pPr>
    </w:p>
    <w:p w14:paraId="3D1A4797" w14:textId="77777777" w:rsidR="001C7F11" w:rsidRDefault="001C7F11" w:rsidP="00BC4F5E">
      <w:pPr>
        <w:pStyle w:val="Bezproreda"/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BC4F5E" w14:paraId="78B669A7" w14:textId="77777777" w:rsidTr="00BD2B1B">
        <w:tc>
          <w:tcPr>
            <w:tcW w:w="9062" w:type="dxa"/>
          </w:tcPr>
          <w:p w14:paraId="14FE3EA8" w14:textId="77777777" w:rsidR="00BC4F5E" w:rsidRPr="00BC4F5E" w:rsidRDefault="00BC4F5E" w:rsidP="00FF5269">
            <w:pPr>
              <w:jc w:val="both"/>
              <w:rPr>
                <w:rFonts w:ascii="Arial" w:hAnsi="Arial" w:cs="Arial"/>
              </w:rPr>
            </w:pPr>
            <w:bookmarkStart w:id="6" w:name="_Hlk144715143"/>
            <w:r w:rsidRPr="00BC4F5E">
              <w:rPr>
                <w:rFonts w:ascii="Arial" w:hAnsi="Arial" w:cs="Arial"/>
                <w:b/>
              </w:rPr>
              <w:t>Izvještaj o danim jamstvima i izdacima po jamstvima</w:t>
            </w:r>
            <w:r w:rsidRPr="00BC4F5E">
              <w:rPr>
                <w:rFonts w:ascii="Arial" w:hAnsi="Arial" w:cs="Arial"/>
              </w:rPr>
              <w:t xml:space="preserve"> </w:t>
            </w:r>
            <w:bookmarkEnd w:id="6"/>
          </w:p>
        </w:tc>
      </w:tr>
    </w:tbl>
    <w:p w14:paraId="066B5978" w14:textId="77777777" w:rsidR="007C75EE" w:rsidRDefault="007C75EE" w:rsidP="00BC4F5E">
      <w:pPr>
        <w:jc w:val="both"/>
        <w:rPr>
          <w:rFonts w:ascii="Arial" w:hAnsi="Arial" w:cs="Arial"/>
        </w:rPr>
      </w:pPr>
    </w:p>
    <w:p w14:paraId="47582170" w14:textId="2BB97FDF" w:rsidR="00287470" w:rsidRDefault="00287470" w:rsidP="00BC4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Tkon u izvještajnom razdoblju nema danih jamstava ni izdataka po jamstvima. </w:t>
      </w:r>
    </w:p>
    <w:p w14:paraId="6D3A45AF" w14:textId="77777777" w:rsidR="00775928" w:rsidRDefault="00775928" w:rsidP="00BC4F5E">
      <w:pPr>
        <w:jc w:val="both"/>
        <w:rPr>
          <w:rFonts w:ascii="Arial" w:hAnsi="Arial" w:cs="Arial"/>
        </w:rPr>
      </w:pPr>
    </w:p>
    <w:p w14:paraId="0D1BAB6C" w14:textId="77777777" w:rsidR="00775928" w:rsidRDefault="00775928" w:rsidP="00BC4F5E">
      <w:pPr>
        <w:jc w:val="both"/>
        <w:rPr>
          <w:rFonts w:ascii="Arial" w:hAnsi="Arial" w:cs="Arial"/>
        </w:rPr>
      </w:pPr>
    </w:p>
    <w:p w14:paraId="09C604D4" w14:textId="77777777" w:rsidR="00775928" w:rsidRDefault="00775928" w:rsidP="00BC4F5E">
      <w:pPr>
        <w:jc w:val="both"/>
        <w:rPr>
          <w:rFonts w:ascii="Arial" w:hAnsi="Arial" w:cs="Arial"/>
        </w:rPr>
      </w:pPr>
    </w:p>
    <w:p w14:paraId="6F505AC0" w14:textId="77777777" w:rsidR="00775928" w:rsidRDefault="00775928" w:rsidP="00BC4F5E">
      <w:pPr>
        <w:jc w:val="both"/>
        <w:rPr>
          <w:rFonts w:ascii="Arial" w:hAnsi="Arial" w:cs="Arial"/>
        </w:rPr>
      </w:pPr>
    </w:p>
    <w:p w14:paraId="09FF6A95" w14:textId="77777777" w:rsidR="00775928" w:rsidRDefault="00775928" w:rsidP="00BC4F5E">
      <w:pPr>
        <w:jc w:val="both"/>
        <w:rPr>
          <w:rFonts w:ascii="Arial" w:hAnsi="Arial" w:cs="Arial"/>
        </w:rPr>
      </w:pPr>
    </w:p>
    <w:p w14:paraId="2B718872" w14:textId="77777777" w:rsidR="00775928" w:rsidRDefault="00775928" w:rsidP="00BC4F5E">
      <w:pPr>
        <w:jc w:val="both"/>
        <w:rPr>
          <w:rFonts w:ascii="Arial" w:hAnsi="Arial" w:cs="Arial"/>
        </w:rPr>
      </w:pPr>
    </w:p>
    <w:p w14:paraId="4B66B102" w14:textId="77777777" w:rsidR="00775928" w:rsidRDefault="00775928" w:rsidP="00BC4F5E">
      <w:pPr>
        <w:jc w:val="both"/>
        <w:rPr>
          <w:rFonts w:ascii="Arial" w:hAnsi="Arial" w:cs="Arial"/>
        </w:rPr>
      </w:pPr>
    </w:p>
    <w:p w14:paraId="79286D53" w14:textId="77777777" w:rsidR="00775928" w:rsidRDefault="00775928" w:rsidP="00BC4F5E">
      <w:pPr>
        <w:jc w:val="both"/>
        <w:rPr>
          <w:rFonts w:ascii="Arial" w:hAnsi="Arial" w:cs="Arial"/>
        </w:rPr>
      </w:pPr>
    </w:p>
    <w:p w14:paraId="02C4E120" w14:textId="77777777" w:rsidR="00775928" w:rsidRDefault="00775928" w:rsidP="00BC4F5E">
      <w:pPr>
        <w:jc w:val="both"/>
        <w:rPr>
          <w:rFonts w:ascii="Arial" w:hAnsi="Arial" w:cs="Arial"/>
        </w:rPr>
      </w:pPr>
    </w:p>
    <w:p w14:paraId="1AE46D5A" w14:textId="77777777" w:rsidR="005D75C7" w:rsidRDefault="005D75C7" w:rsidP="00BC4F5E">
      <w:pPr>
        <w:jc w:val="both"/>
        <w:rPr>
          <w:rFonts w:ascii="Arial" w:hAnsi="Arial" w:cs="Arial"/>
        </w:rPr>
      </w:pPr>
    </w:p>
    <w:p w14:paraId="6D35BB62" w14:textId="77777777" w:rsidR="005D75C7" w:rsidRDefault="005D75C7" w:rsidP="00BC4F5E">
      <w:pPr>
        <w:jc w:val="both"/>
        <w:rPr>
          <w:rFonts w:ascii="Arial" w:hAnsi="Arial" w:cs="Arial"/>
        </w:rPr>
      </w:pPr>
    </w:p>
    <w:p w14:paraId="7F5937D1" w14:textId="77777777" w:rsidR="005D75C7" w:rsidRDefault="005D75C7" w:rsidP="00BC4F5E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4B6" w:rsidRPr="00BC4F5E" w14:paraId="306CF217" w14:textId="77777777" w:rsidTr="00BD2B1B">
        <w:tc>
          <w:tcPr>
            <w:tcW w:w="9062" w:type="dxa"/>
          </w:tcPr>
          <w:p w14:paraId="54FDF0E1" w14:textId="77777777" w:rsidR="00775928" w:rsidRDefault="00775928" w:rsidP="00677FE1">
            <w:pPr>
              <w:jc w:val="both"/>
              <w:rPr>
                <w:rFonts w:ascii="Arial" w:hAnsi="Arial" w:cs="Arial"/>
                <w:b/>
              </w:rPr>
            </w:pPr>
          </w:p>
          <w:p w14:paraId="02BD3A29" w14:textId="0123C9B6" w:rsidR="00C014B6" w:rsidRPr="00BC4F5E" w:rsidRDefault="00C014B6" w:rsidP="00677F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Izvještaj o danim instrumentima osiguranja</w:t>
            </w:r>
          </w:p>
        </w:tc>
      </w:tr>
    </w:tbl>
    <w:p w14:paraId="3D256E5B" w14:textId="77777777" w:rsidR="00775928" w:rsidRDefault="00775928" w:rsidP="00FF5269">
      <w:pPr>
        <w:jc w:val="both"/>
        <w:rPr>
          <w:rFonts w:ascii="Arial" w:hAnsi="Arial" w:cs="Arial"/>
        </w:rPr>
      </w:pPr>
    </w:p>
    <w:p w14:paraId="2D4A03B1" w14:textId="60077BAA" w:rsidR="00775928" w:rsidRDefault="00775928" w:rsidP="00FF52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Popis zadužnica na dan 31.12.2025.</w:t>
      </w:r>
    </w:p>
    <w:p w14:paraId="24BBD0A5" w14:textId="3A2C1531" w:rsidR="00775928" w:rsidRDefault="00775928" w:rsidP="00FF5269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835D590" wp14:editId="68111A24">
            <wp:extent cx="5760720" cy="2489200"/>
            <wp:effectExtent l="0" t="0" r="0" b="6350"/>
            <wp:docPr id="19907059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059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BA58A" w14:textId="3A90EBAD" w:rsidR="00775928" w:rsidRDefault="00775928" w:rsidP="00FF5269">
      <w:pPr>
        <w:jc w:val="both"/>
        <w:rPr>
          <w:rFonts w:ascii="Arial" w:hAnsi="Arial" w:cs="Arial"/>
        </w:rPr>
      </w:pPr>
    </w:p>
    <w:p w14:paraId="5F9B3EAB" w14:textId="7FD1A3F7" w:rsidR="004F1877" w:rsidRDefault="004F1877" w:rsidP="00FF5269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8C4" w:rsidRPr="008C28C4" w14:paraId="095678F0" w14:textId="77777777" w:rsidTr="008C28C4">
        <w:tc>
          <w:tcPr>
            <w:tcW w:w="9062" w:type="dxa"/>
          </w:tcPr>
          <w:p w14:paraId="72BFCBF2" w14:textId="77777777" w:rsidR="004F1877" w:rsidRDefault="004F1877" w:rsidP="008F1BB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CF3A038" w14:textId="279AA52F" w:rsidR="008C28C4" w:rsidRPr="008C28C4" w:rsidRDefault="008C28C4" w:rsidP="008F1BB6">
            <w:pPr>
              <w:jc w:val="both"/>
              <w:rPr>
                <w:rFonts w:ascii="Arial" w:hAnsi="Arial" w:cs="Arial"/>
                <w:b/>
                <w:bCs/>
              </w:rPr>
            </w:pPr>
            <w:r w:rsidRPr="008C28C4">
              <w:rPr>
                <w:rFonts w:ascii="Arial" w:hAnsi="Arial" w:cs="Arial"/>
                <w:b/>
                <w:bCs/>
              </w:rPr>
              <w:t>Izvještaj o korištenju sredstava Europske unije</w:t>
            </w:r>
          </w:p>
        </w:tc>
      </w:tr>
    </w:tbl>
    <w:p w14:paraId="699755F4" w14:textId="77777777" w:rsidR="000E683C" w:rsidRDefault="000E683C" w:rsidP="001D54D2">
      <w:pPr>
        <w:jc w:val="both"/>
        <w:rPr>
          <w:rFonts w:ascii="Arial" w:hAnsi="Arial" w:cs="Arial"/>
        </w:rPr>
      </w:pPr>
    </w:p>
    <w:p w14:paraId="4DBB83C1" w14:textId="6F98569A" w:rsidR="00D50346" w:rsidRDefault="00D50346" w:rsidP="001D5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Općina Tkon je u 202</w:t>
      </w:r>
      <w:r w:rsidR="0038286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godini potpisala ugovor </w:t>
      </w:r>
      <w:r w:rsidR="00382868">
        <w:rPr>
          <w:rFonts w:ascii="Arial" w:hAnsi="Arial" w:cs="Arial"/>
        </w:rPr>
        <w:t xml:space="preserve">o potpori za lokalni razvoj u sklopu inicijative LEADR </w:t>
      </w:r>
      <w:r>
        <w:rPr>
          <w:rFonts w:ascii="Arial" w:hAnsi="Arial" w:cs="Arial"/>
        </w:rPr>
        <w:t>s Agencijom za plaćanje u poljoprivredi, ribarstvu i ruralnom razvoju</w:t>
      </w:r>
      <w:r w:rsidR="00F81D06">
        <w:rPr>
          <w:rFonts w:ascii="Arial" w:hAnsi="Arial" w:cs="Arial"/>
        </w:rPr>
        <w:t>,</w:t>
      </w:r>
      <w:r w:rsidR="00382868">
        <w:rPr>
          <w:rFonts w:ascii="Arial" w:hAnsi="Arial" w:cs="Arial"/>
        </w:rPr>
        <w:t xml:space="preserve"> za proje</w:t>
      </w:r>
      <w:r>
        <w:rPr>
          <w:rFonts w:ascii="Arial" w:hAnsi="Arial" w:cs="Arial"/>
        </w:rPr>
        <w:t xml:space="preserve">kt </w:t>
      </w:r>
      <w:r w:rsidR="00BC2629">
        <w:rPr>
          <w:rFonts w:ascii="Arial" w:hAnsi="Arial" w:cs="Arial"/>
        </w:rPr>
        <w:t xml:space="preserve">rekonstrukcije i opremanja </w:t>
      </w:r>
      <w:r w:rsidR="00382868">
        <w:rPr>
          <w:rFonts w:ascii="Arial" w:hAnsi="Arial" w:cs="Arial"/>
        </w:rPr>
        <w:t xml:space="preserve">Društvenog doma </w:t>
      </w:r>
      <w:r>
        <w:rPr>
          <w:rFonts w:ascii="Arial" w:hAnsi="Arial" w:cs="Arial"/>
        </w:rPr>
        <w:t>u Tkonu</w:t>
      </w:r>
      <w:r w:rsidR="00382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iznosu od </w:t>
      </w:r>
      <w:r w:rsidR="005D5067">
        <w:rPr>
          <w:rFonts w:ascii="Arial" w:hAnsi="Arial" w:cs="Arial"/>
        </w:rPr>
        <w:t>45.867,34</w:t>
      </w:r>
      <w:r>
        <w:rPr>
          <w:rFonts w:ascii="Arial" w:hAnsi="Arial" w:cs="Arial"/>
        </w:rPr>
        <w:t xml:space="preserve"> eur</w:t>
      </w:r>
      <w:r w:rsidR="00382868">
        <w:rPr>
          <w:rFonts w:ascii="Arial" w:hAnsi="Arial" w:cs="Arial"/>
        </w:rPr>
        <w:t xml:space="preserve">. Dio sredstava u iznosu od 24.089,19 eur uplaćen je Općini Tkon u 2024 godini dok se ostatak iznosa od </w:t>
      </w:r>
      <w:r w:rsidR="005D5067">
        <w:rPr>
          <w:rFonts w:ascii="Arial" w:hAnsi="Arial" w:cs="Arial"/>
        </w:rPr>
        <w:t>21.778,15</w:t>
      </w:r>
      <w:r w:rsidR="00382868">
        <w:rPr>
          <w:rFonts w:ascii="Arial" w:hAnsi="Arial" w:cs="Arial"/>
        </w:rPr>
        <w:t xml:space="preserve"> eur u 2025.godini. S izvođačem radova Gemas d.o.o. potpisan je ugovor</w:t>
      </w:r>
      <w:r w:rsidR="00BC2629">
        <w:rPr>
          <w:rFonts w:ascii="Arial" w:hAnsi="Arial" w:cs="Arial"/>
        </w:rPr>
        <w:t xml:space="preserve"> i dodatak ugovora</w:t>
      </w:r>
      <w:r w:rsidR="00382868">
        <w:rPr>
          <w:rFonts w:ascii="Arial" w:hAnsi="Arial" w:cs="Arial"/>
        </w:rPr>
        <w:t xml:space="preserve"> o izvođenju radova na iznos od 99.762,38 eur, tako da </w:t>
      </w:r>
      <w:r w:rsidR="00BC2629">
        <w:rPr>
          <w:rFonts w:ascii="Arial" w:hAnsi="Arial" w:cs="Arial"/>
        </w:rPr>
        <w:t xml:space="preserve">se iznos od </w:t>
      </w:r>
      <w:r w:rsidR="00382868">
        <w:rPr>
          <w:rFonts w:ascii="Arial" w:hAnsi="Arial" w:cs="Arial"/>
        </w:rPr>
        <w:t xml:space="preserve"> </w:t>
      </w:r>
      <w:r w:rsidR="005D5067">
        <w:rPr>
          <w:rFonts w:ascii="Arial" w:hAnsi="Arial" w:cs="Arial"/>
        </w:rPr>
        <w:t>53.895,04</w:t>
      </w:r>
      <w:r w:rsidR="00382868">
        <w:rPr>
          <w:rFonts w:ascii="Arial" w:hAnsi="Arial" w:cs="Arial"/>
        </w:rPr>
        <w:t xml:space="preserve"> </w:t>
      </w:r>
      <w:r w:rsidR="00BC2629">
        <w:rPr>
          <w:rFonts w:ascii="Arial" w:hAnsi="Arial" w:cs="Arial"/>
        </w:rPr>
        <w:t>financira iz vlastitih sredstava Općine Tkon.</w:t>
      </w:r>
    </w:p>
    <w:p w14:paraId="393368E8" w14:textId="77382C8A" w:rsidR="00F81D06" w:rsidRDefault="00F81D06" w:rsidP="001D54D2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8C4" w:rsidRPr="008C28C4" w14:paraId="21DFEFA0" w14:textId="77777777" w:rsidTr="008C28C4">
        <w:tc>
          <w:tcPr>
            <w:tcW w:w="9062" w:type="dxa"/>
          </w:tcPr>
          <w:p w14:paraId="05D39AA2" w14:textId="32AABE10" w:rsidR="008C28C4" w:rsidRPr="008C28C4" w:rsidRDefault="008C28C4" w:rsidP="0037383F">
            <w:pPr>
              <w:jc w:val="both"/>
              <w:rPr>
                <w:rFonts w:ascii="Arial" w:hAnsi="Arial" w:cs="Arial"/>
                <w:b/>
                <w:bCs/>
              </w:rPr>
            </w:pPr>
            <w:r w:rsidRPr="008C28C4">
              <w:rPr>
                <w:rFonts w:ascii="Arial" w:hAnsi="Arial" w:cs="Arial"/>
                <w:b/>
                <w:bCs/>
              </w:rPr>
              <w:t>Izvještaj o danim zajmovima i potraživanjima po danim zajmovima</w:t>
            </w:r>
          </w:p>
        </w:tc>
      </w:tr>
    </w:tbl>
    <w:p w14:paraId="0EBB4F74" w14:textId="77777777" w:rsidR="008C28C4" w:rsidRDefault="008C28C4" w:rsidP="001D54D2">
      <w:pPr>
        <w:jc w:val="both"/>
        <w:rPr>
          <w:rFonts w:ascii="Arial" w:hAnsi="Arial" w:cs="Arial"/>
        </w:rPr>
      </w:pPr>
    </w:p>
    <w:p w14:paraId="0B3E7BD1" w14:textId="05F72FB3" w:rsidR="00CE4499" w:rsidRDefault="00CE4499" w:rsidP="001D5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Općina Tkon</w:t>
      </w:r>
      <w:r w:rsidR="0077731E">
        <w:rPr>
          <w:rFonts w:ascii="Arial" w:hAnsi="Arial" w:cs="Arial"/>
        </w:rPr>
        <w:t xml:space="preserve"> je bila deponent Alpe Jadran banke koja je 2001 godine otišla u likvidaciju. Kako bi naplatili svoja financijska sredstva, načelnik Općine Tkon sklopio je  ugovore s bančinim dužnicima. Preostali iznos zajma </w:t>
      </w:r>
      <w:r w:rsidR="002506D4">
        <w:rPr>
          <w:rFonts w:ascii="Arial" w:hAnsi="Arial" w:cs="Arial"/>
        </w:rPr>
        <w:t xml:space="preserve">sukladno Ugovoru KLASA:080-01/00-01/18 URBROJ:2198/32-01-03 u iznosu </w:t>
      </w:r>
      <w:r w:rsidR="0077731E">
        <w:rPr>
          <w:rFonts w:ascii="Arial" w:hAnsi="Arial" w:cs="Arial"/>
        </w:rPr>
        <w:t>od 3.095,48 eur,</w:t>
      </w:r>
      <w:r w:rsidR="002506D4">
        <w:rPr>
          <w:rFonts w:ascii="Arial" w:hAnsi="Arial" w:cs="Arial"/>
        </w:rPr>
        <w:t xml:space="preserve"> </w:t>
      </w:r>
      <w:r w:rsidR="0077731E">
        <w:rPr>
          <w:rFonts w:ascii="Arial" w:hAnsi="Arial" w:cs="Arial"/>
        </w:rPr>
        <w:t>na ime Srećka Burčul</w:t>
      </w:r>
      <w:r w:rsidR="002506D4">
        <w:rPr>
          <w:rFonts w:ascii="Arial" w:hAnsi="Arial" w:cs="Arial"/>
        </w:rPr>
        <w:t xml:space="preserve"> OIB:16945687414</w:t>
      </w:r>
      <w:r w:rsidR="0077731E">
        <w:rPr>
          <w:rFonts w:ascii="Arial" w:hAnsi="Arial" w:cs="Arial"/>
        </w:rPr>
        <w:t xml:space="preserve"> iz Biograda na Moru, Radovanova 16</w:t>
      </w:r>
      <w:r w:rsidR="002506D4">
        <w:rPr>
          <w:rFonts w:ascii="Arial" w:hAnsi="Arial" w:cs="Arial"/>
        </w:rPr>
        <w:t xml:space="preserve">, </w:t>
      </w:r>
      <w:r w:rsidR="0077731E">
        <w:rPr>
          <w:rFonts w:ascii="Arial" w:hAnsi="Arial" w:cs="Arial"/>
        </w:rPr>
        <w:t xml:space="preserve">u postupku </w:t>
      </w:r>
      <w:r w:rsidR="002506D4">
        <w:rPr>
          <w:rFonts w:ascii="Arial" w:hAnsi="Arial" w:cs="Arial"/>
        </w:rPr>
        <w:t xml:space="preserve">je </w:t>
      </w:r>
      <w:r w:rsidR="0077731E">
        <w:rPr>
          <w:rFonts w:ascii="Arial" w:hAnsi="Arial" w:cs="Arial"/>
        </w:rPr>
        <w:t>ovrhe</w:t>
      </w:r>
      <w:r w:rsidR="002506D4">
        <w:rPr>
          <w:rFonts w:ascii="Arial" w:hAnsi="Arial" w:cs="Arial"/>
        </w:rPr>
        <w:t xml:space="preserve"> pod brojem: OVRV-492/10. </w:t>
      </w:r>
      <w:r w:rsidR="006D3BE4">
        <w:rPr>
          <w:rFonts w:ascii="Arial" w:hAnsi="Arial" w:cs="Arial"/>
        </w:rPr>
        <w:t xml:space="preserve">Jedinstveni upravni odjel Općine Tkon </w:t>
      </w:r>
      <w:r w:rsidR="00C304ED">
        <w:rPr>
          <w:rFonts w:ascii="Arial" w:hAnsi="Arial" w:cs="Arial"/>
        </w:rPr>
        <w:t>2011 godine z</w:t>
      </w:r>
      <w:r w:rsidR="002506D4">
        <w:rPr>
          <w:rFonts w:ascii="Arial" w:hAnsi="Arial" w:cs="Arial"/>
        </w:rPr>
        <w:t>atraž</w:t>
      </w:r>
      <w:r w:rsidR="006D3BE4">
        <w:rPr>
          <w:rFonts w:ascii="Arial" w:hAnsi="Arial" w:cs="Arial"/>
        </w:rPr>
        <w:t>io</w:t>
      </w:r>
      <w:r w:rsidR="002506D4">
        <w:rPr>
          <w:rFonts w:ascii="Arial" w:hAnsi="Arial" w:cs="Arial"/>
        </w:rPr>
        <w:t xml:space="preserve"> je očitovanje FINE o statusu ovrhe, na što nam je ista odgovorila da smo na 22. mjestu u očevidniku redoslijeda osnova za plaćanje.</w:t>
      </w:r>
    </w:p>
    <w:p w14:paraId="37CF86A5" w14:textId="77777777" w:rsidR="00FB7D8B" w:rsidRDefault="00FB7D8B" w:rsidP="001D54D2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8C4" w14:paraId="449AE4C4" w14:textId="77777777" w:rsidTr="008C28C4">
        <w:tc>
          <w:tcPr>
            <w:tcW w:w="9062" w:type="dxa"/>
          </w:tcPr>
          <w:p w14:paraId="057DC27D" w14:textId="51C14AEC" w:rsidR="008C28C4" w:rsidRPr="008C28C4" w:rsidRDefault="008C28C4" w:rsidP="004701BE">
            <w:pPr>
              <w:jc w:val="both"/>
              <w:rPr>
                <w:rFonts w:ascii="Arial" w:hAnsi="Arial" w:cs="Arial"/>
                <w:b/>
                <w:bCs/>
              </w:rPr>
            </w:pPr>
            <w:r w:rsidRPr="008C28C4">
              <w:rPr>
                <w:rFonts w:ascii="Arial" w:hAnsi="Arial" w:cs="Arial"/>
                <w:b/>
                <w:bCs/>
              </w:rPr>
              <w:t>Izvještaj o stanju potraživanja i dospjelih obveza te o stanju potencijalnih obveza po osnovi sudskih sporova</w:t>
            </w:r>
          </w:p>
        </w:tc>
      </w:tr>
    </w:tbl>
    <w:tbl>
      <w:tblPr>
        <w:tblW w:w="6876" w:type="dxa"/>
        <w:tblInd w:w="-30" w:type="dxa"/>
        <w:tblLook w:val="04A0" w:firstRow="1" w:lastRow="0" w:firstColumn="1" w:lastColumn="0" w:noHBand="0" w:noVBand="1"/>
      </w:tblPr>
      <w:tblGrid>
        <w:gridCol w:w="921"/>
        <w:gridCol w:w="319"/>
        <w:gridCol w:w="4970"/>
        <w:gridCol w:w="607"/>
        <w:gridCol w:w="1302"/>
      </w:tblGrid>
      <w:tr w:rsidR="00744F84" w:rsidRPr="00744F84" w14:paraId="3006BE64" w14:textId="77777777" w:rsidTr="007A354D">
        <w:trPr>
          <w:trHeight w:val="25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F93F" w14:textId="77777777" w:rsidR="00744F84" w:rsidRPr="00744F84" w:rsidRDefault="00744F84" w:rsidP="0074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D959" w14:textId="77777777" w:rsidR="00744F84" w:rsidRPr="00744F84" w:rsidRDefault="00744F84" w:rsidP="0074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82816" w14:textId="77777777" w:rsidR="00744F84" w:rsidRPr="00744F84" w:rsidRDefault="00744F84" w:rsidP="00744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4F84" w:rsidRPr="00744F84" w14:paraId="198D4593" w14:textId="77777777" w:rsidTr="00FE1C5D">
        <w:trPr>
          <w:trHeight w:val="315"/>
        </w:trPr>
        <w:tc>
          <w:tcPr>
            <w:tcW w:w="5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560" w:type="dxa"/>
              <w:tblLook w:val="04A0" w:firstRow="1" w:lastRow="0" w:firstColumn="1" w:lastColumn="0" w:noHBand="0" w:noVBand="1"/>
            </w:tblPr>
            <w:tblGrid>
              <w:gridCol w:w="872"/>
              <w:gridCol w:w="4480"/>
              <w:gridCol w:w="1249"/>
            </w:tblGrid>
            <w:tr w:rsidR="007A354D" w:rsidRPr="007A354D" w14:paraId="0BAFE498" w14:textId="77777777" w:rsidTr="007A354D">
              <w:trPr>
                <w:trHeight w:val="300"/>
              </w:trPr>
              <w:tc>
                <w:tcPr>
                  <w:tcW w:w="6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A04625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POTRPOTRAŽIVANJA I OBVEZE NA DAN 31.12.2025.</w:t>
                  </w:r>
                </w:p>
              </w:tc>
            </w:tr>
            <w:tr w:rsidR="007A354D" w:rsidRPr="007A354D" w14:paraId="31041AB8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144F3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F2526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0FAD8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354D" w:rsidRPr="007A354D" w14:paraId="55419754" w14:textId="77777777" w:rsidTr="007A354D">
              <w:trPr>
                <w:trHeight w:val="315"/>
              </w:trPr>
              <w:tc>
                <w:tcPr>
                  <w:tcW w:w="53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1CE3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POTRAŽIVANJA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04DB2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</w:p>
              </w:tc>
            </w:tr>
            <w:tr w:rsidR="007A354D" w:rsidRPr="007A354D" w14:paraId="1985D55C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76069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Red.br.</w:t>
                  </w:r>
                </w:p>
              </w:tc>
              <w:tc>
                <w:tcPr>
                  <w:tcW w:w="4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A6F64" w14:textId="77777777" w:rsidR="007A354D" w:rsidRPr="007A354D" w:rsidRDefault="007A354D" w:rsidP="007A354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Naziv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02199" w14:textId="77777777" w:rsidR="007A354D" w:rsidRPr="007A354D" w:rsidRDefault="007A354D" w:rsidP="007A354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Iznos</w:t>
                  </w:r>
                </w:p>
              </w:tc>
            </w:tr>
            <w:tr w:rsidR="007A354D" w:rsidRPr="007A354D" w14:paraId="060F4044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6D7AE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CFCF6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Žiro-račun 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13F89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10.067,63</w:t>
                  </w:r>
                </w:p>
              </w:tc>
            </w:tr>
            <w:tr w:rsidR="007A354D" w:rsidRPr="007A354D" w14:paraId="38754AA8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12DD9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899B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Zajmovi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D46E2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3.095,48</w:t>
                  </w:r>
                </w:p>
              </w:tc>
            </w:tr>
            <w:tr w:rsidR="007A354D" w:rsidRPr="007A354D" w14:paraId="5C04CA76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DE0EF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AD265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P.K. JKU Prvenj Tkon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62E8E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2.654,46</w:t>
                  </w:r>
                </w:p>
              </w:tc>
            </w:tr>
            <w:tr w:rsidR="007A354D" w:rsidRPr="007A354D" w14:paraId="14637EEE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7F8A5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A9B5E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P.K. DV Ćok Tkon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765A6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1.945,72</w:t>
                  </w:r>
                </w:p>
              </w:tc>
            </w:tr>
            <w:tr w:rsidR="007A354D" w:rsidRPr="007A354D" w14:paraId="0A98C453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919F9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63110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P.K. Komunalac d.o.o. Biograd n/m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4F0DA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453.354,57</w:t>
                  </w:r>
                </w:p>
              </w:tc>
            </w:tr>
            <w:tr w:rsidR="007A354D" w:rsidRPr="007A354D" w14:paraId="7DA25951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0519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5B7A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P.K. Orlić d.o.o.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2B625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2.654,46</w:t>
                  </w:r>
                </w:p>
              </w:tc>
            </w:tr>
            <w:tr w:rsidR="007A354D" w:rsidRPr="007A354D" w14:paraId="3E8929A0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97B4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A25C9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P.K. Otok Net d.o.o.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85A33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1.000,00</w:t>
                  </w:r>
                </w:p>
              </w:tc>
            </w:tr>
            <w:tr w:rsidR="007A354D" w:rsidRPr="007A354D" w14:paraId="16FEE63C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EA376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1B28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Porez na kuće za odmor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A6B3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15.888,92</w:t>
                  </w:r>
                </w:p>
              </w:tc>
            </w:tr>
            <w:tr w:rsidR="007A354D" w:rsidRPr="007A354D" w14:paraId="2526B5BE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33E73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F9387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Porez na nekretnine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B5C0A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13.500,80</w:t>
                  </w:r>
                </w:p>
              </w:tc>
            </w:tr>
            <w:tr w:rsidR="007A354D" w:rsidRPr="007A354D" w14:paraId="56A2B83E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6F6CA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68922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Porez na potrošnju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D0D1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1.727,93</w:t>
                  </w:r>
                </w:p>
              </w:tc>
            </w:tr>
            <w:tr w:rsidR="007A354D" w:rsidRPr="007A354D" w14:paraId="57B3EB5F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305F4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83CE8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Porez na tvrtku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54CE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1.393,64</w:t>
                  </w:r>
                </w:p>
              </w:tc>
            </w:tr>
            <w:tr w:rsidR="007A354D" w:rsidRPr="007A354D" w14:paraId="2AFB539D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970DC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B6296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Zatezne kamate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21D5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1.698,59</w:t>
                  </w:r>
                </w:p>
              </w:tc>
            </w:tr>
            <w:tr w:rsidR="007A354D" w:rsidRPr="007A354D" w14:paraId="347992C6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387CE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D8E2E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Općina Pašman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431DB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2.654,46</w:t>
                  </w:r>
                </w:p>
              </w:tc>
            </w:tr>
            <w:tr w:rsidR="007A354D" w:rsidRPr="007A354D" w14:paraId="43D8C5DC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08534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2FC7A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Ovršni troškovi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C8CF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738,64</w:t>
                  </w:r>
                </w:p>
              </w:tc>
            </w:tr>
            <w:tr w:rsidR="007A354D" w:rsidRPr="007A354D" w14:paraId="213A6548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B5280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8E09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Zakup poslovnih prostora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C4CC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2.965,07</w:t>
                  </w:r>
                </w:p>
              </w:tc>
            </w:tr>
            <w:tr w:rsidR="007A354D" w:rsidRPr="007A354D" w14:paraId="0B962300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C3FB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5310B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Naknada za upotrebu javnih površina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71325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6.075,02</w:t>
                  </w:r>
                </w:p>
              </w:tc>
            </w:tr>
            <w:tr w:rsidR="007A354D" w:rsidRPr="007A354D" w14:paraId="0FF31411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96D75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8DEDA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Naknada za up.jav.pov.za ljetne terase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A29D1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2.107,94</w:t>
                  </w:r>
                </w:p>
              </w:tc>
            </w:tr>
            <w:tr w:rsidR="007A354D" w:rsidRPr="007A354D" w14:paraId="6FABBED1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57B2E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39DF5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Kamate za dane zajmove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F786D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6.377,08</w:t>
                  </w:r>
                </w:p>
              </w:tc>
            </w:tr>
            <w:tr w:rsidR="007A354D" w:rsidRPr="007A354D" w14:paraId="02D5DB98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4543C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04276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Nova katastarska izmjera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2795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17.331,14</w:t>
                  </w:r>
                </w:p>
              </w:tc>
            </w:tr>
            <w:tr w:rsidR="007A354D" w:rsidRPr="007A354D" w14:paraId="0C15AF91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619A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307CB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Komunalni doprinos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EC559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117,43</w:t>
                  </w:r>
                </w:p>
              </w:tc>
            </w:tr>
            <w:tr w:rsidR="007A354D" w:rsidRPr="007A354D" w14:paraId="04AA03E9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D050C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7801E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Komunalna naknada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AC1CF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4.990,14</w:t>
                  </w:r>
                </w:p>
              </w:tc>
            </w:tr>
            <w:tr w:rsidR="007A354D" w:rsidRPr="007A354D" w14:paraId="01BB6EAF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4AFBB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413E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Povlaštena električna energija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1DD16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432,73</w:t>
                  </w:r>
                </w:p>
              </w:tc>
            </w:tr>
            <w:tr w:rsidR="007A354D" w:rsidRPr="007A354D" w14:paraId="27424727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1F35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FFF56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UKUPNO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3445C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552.771,85</w:t>
                  </w:r>
                </w:p>
              </w:tc>
            </w:tr>
            <w:tr w:rsidR="007A354D" w:rsidRPr="007A354D" w14:paraId="1F64A124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072D1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198FC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6EC51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354D" w:rsidRPr="007A354D" w14:paraId="1C4DE645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6A10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C0679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Ispravak vrijednosti potraživanja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118B6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43.838,13</w:t>
                  </w:r>
                </w:p>
              </w:tc>
            </w:tr>
            <w:tr w:rsidR="007A354D" w:rsidRPr="007A354D" w14:paraId="70E5E031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7AAF9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6FE5B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val="en-US"/>
                    </w:rPr>
                    <w:t>UKUPNO NAKON ISPRAVKA VRIJEDNOSTI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8B21E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508.933,72</w:t>
                  </w:r>
                </w:p>
              </w:tc>
            </w:tr>
            <w:tr w:rsidR="007A354D" w:rsidRPr="007A354D" w14:paraId="43F92AC8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6B9F4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88CBF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C63AF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354D" w:rsidRPr="007A354D" w14:paraId="58529744" w14:textId="77777777" w:rsidTr="007A354D">
              <w:trPr>
                <w:trHeight w:val="315"/>
              </w:trPr>
              <w:tc>
                <w:tcPr>
                  <w:tcW w:w="53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B1E50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OBVEZE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6ACDD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</w:p>
              </w:tc>
            </w:tr>
            <w:tr w:rsidR="007A354D" w:rsidRPr="007A354D" w14:paraId="210E4CA0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1E4A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Red.br.</w:t>
                  </w:r>
                </w:p>
              </w:tc>
              <w:tc>
                <w:tcPr>
                  <w:tcW w:w="4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D58B8" w14:textId="77777777" w:rsidR="007A354D" w:rsidRPr="007A354D" w:rsidRDefault="007A354D" w:rsidP="007A354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Naziv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16F79" w14:textId="77777777" w:rsidR="007A354D" w:rsidRPr="007A354D" w:rsidRDefault="007A354D" w:rsidP="007A354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Iznos</w:t>
                  </w:r>
                </w:p>
              </w:tc>
            </w:tr>
            <w:tr w:rsidR="007A354D" w:rsidRPr="007A354D" w14:paraId="7DFE518A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E5D88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70838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Plaće i prijevoz 12/25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30FB4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16.529,30</w:t>
                  </w:r>
                </w:p>
              </w:tc>
            </w:tr>
            <w:tr w:rsidR="007A354D" w:rsidRPr="007A354D" w14:paraId="0F32D47A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B2394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0B5C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Dobavljači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9E13F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440.883,04</w:t>
                  </w:r>
                </w:p>
              </w:tc>
            </w:tr>
            <w:tr w:rsidR="007A354D" w:rsidRPr="007A354D" w14:paraId="1F9A0329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E14B4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D02B3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Dobavljači "ostalo"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D678A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54.501,90</w:t>
                  </w:r>
                </w:p>
              </w:tc>
            </w:tr>
            <w:tr w:rsidR="007A354D" w:rsidRPr="007A354D" w14:paraId="291E72A2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7F031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67FC2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Kredit kratkoročni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02E55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114.999,98</w:t>
                  </w:r>
                </w:p>
              </w:tc>
            </w:tr>
            <w:tr w:rsidR="007A354D" w:rsidRPr="007A354D" w14:paraId="3324F9D5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07F28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ACDE3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Kredit dugoročni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96BB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231.601,48</w:t>
                  </w:r>
                </w:p>
              </w:tc>
            </w:tr>
            <w:tr w:rsidR="007A354D" w:rsidRPr="007A354D" w14:paraId="417A26C5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13161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01746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Beskamatni zajam iz državnog proračuna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9CBBF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2.658,14</w:t>
                  </w:r>
                </w:p>
              </w:tc>
            </w:tr>
            <w:tr w:rsidR="007A354D" w:rsidRPr="007A354D" w14:paraId="4D978713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E18E1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D23E4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Kamate na kredite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6A57D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562,00</w:t>
                  </w:r>
                </w:p>
              </w:tc>
            </w:tr>
            <w:tr w:rsidR="007A354D" w:rsidRPr="007A354D" w14:paraId="20F5EA02" w14:textId="77777777" w:rsidTr="007A354D">
              <w:trPr>
                <w:trHeight w:val="255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5B58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0C1EC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PDV-naplaćeni i nenaplaćeni prihodi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C4D16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43.933,52</w:t>
                  </w:r>
                </w:p>
              </w:tc>
            </w:tr>
            <w:tr w:rsidR="007A354D" w:rsidRPr="007A354D" w14:paraId="0BDA1274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F1E3A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76631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Jamčevni polozi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85ED0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12.809,67</w:t>
                  </w:r>
                </w:p>
              </w:tc>
            </w:tr>
            <w:tr w:rsidR="007A354D" w:rsidRPr="007A354D" w14:paraId="3E1008EA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2AB28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CEE28" w14:textId="77777777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Tuđi prihodi - PNN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93917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2.700,18</w:t>
                  </w:r>
                </w:p>
              </w:tc>
            </w:tr>
            <w:tr w:rsidR="007A354D" w:rsidRPr="007A354D" w14:paraId="55D70D86" w14:textId="77777777" w:rsidTr="007A354D">
              <w:trPr>
                <w:trHeight w:val="270"/>
              </w:trPr>
              <w:tc>
                <w:tcPr>
                  <w:tcW w:w="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2BF85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A01DF" w14:textId="07508805" w:rsidR="007A354D" w:rsidRPr="007A354D" w:rsidRDefault="007A354D" w:rsidP="007A354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UKUPNO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69676" w14:textId="77777777" w:rsidR="007A354D" w:rsidRPr="007A354D" w:rsidRDefault="007A354D" w:rsidP="007A354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7A354D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921.179,21</w:t>
                  </w:r>
                </w:p>
              </w:tc>
            </w:tr>
          </w:tbl>
          <w:p w14:paraId="071848E4" w14:textId="77777777" w:rsidR="00744F84" w:rsidRDefault="00744F84" w:rsidP="0074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6DF7AEA1" w14:textId="77777777" w:rsidR="007A354D" w:rsidRDefault="007A354D" w:rsidP="0074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7A6C4E6E" w14:textId="77777777" w:rsidR="00775928" w:rsidRDefault="00775928" w:rsidP="0074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  <w:p w14:paraId="0DC2D979" w14:textId="506E4836" w:rsidR="00775928" w:rsidRPr="00744F84" w:rsidRDefault="00775928" w:rsidP="0074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DB3F4" w14:textId="77777777" w:rsidR="00744F84" w:rsidRPr="00744F84" w:rsidRDefault="00744F84" w:rsidP="0074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0314DC" w14:paraId="37DA6030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32D48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D.V. ĆOK TKON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BB48E" w14:textId="01014416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314DC" w14:paraId="6347F94B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FA8D88B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834CC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E49F4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314DC" w14:paraId="38978474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B33A26A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A931F" w14:textId="75F00A94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POTRAŽIVANJA I OBVEZE NA DAN 31.12.202</w:t>
            </w:r>
            <w:r w:rsidR="007A354D">
              <w:rPr>
                <w:rFonts w:ascii="Arial" w:hAnsi="Arial" w:cs="Arial"/>
                <w:b/>
                <w:bCs/>
                <w:color w:val="00000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.</w:t>
            </w:r>
          </w:p>
        </w:tc>
      </w:tr>
      <w:tr w:rsidR="000314DC" w14:paraId="2EA4C04C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7C13A9F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2AF7E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3446D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314DC" w14:paraId="0DC98895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1EE04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POTRAŽIVANJA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63DB1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314DC" w14:paraId="1B2E49B9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896CB0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Red.br.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B4406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Naziv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0D7AD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Iznos</w:t>
            </w:r>
          </w:p>
        </w:tc>
      </w:tr>
      <w:tr w:rsidR="000314DC" w14:paraId="12C3D246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F9D9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EA26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Žiro-račun redovni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985C" w14:textId="2F799CAE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878,41</w:t>
            </w:r>
          </w:p>
        </w:tc>
      </w:tr>
      <w:tr w:rsidR="000314DC" w14:paraId="75F030FC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7A8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8899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Potraživanja od roditelja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43A8" w14:textId="110F032D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0314DC" w14:paraId="1EA4269F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94332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B1F88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Potraživanja za više plaćen porez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757F5F" w14:textId="0B9FDB81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0314DC" w14:paraId="06A80514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A63B4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1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7F9DDE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Potraživanja za naknade koje se refundiraju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D857AC" w14:textId="1CB0BBBD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304,45</w:t>
            </w:r>
          </w:p>
        </w:tc>
      </w:tr>
      <w:tr w:rsidR="000314DC" w14:paraId="74E1E8BC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D78E74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80FAB3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1E77AC" w14:textId="1011BBD2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1.182,86</w:t>
            </w:r>
          </w:p>
        </w:tc>
      </w:tr>
      <w:tr w:rsidR="000314DC" w14:paraId="5893C366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9AA59AD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F128C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75064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314DC" w14:paraId="52082997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C0D4D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OBVEZE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1F45B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314DC" w14:paraId="7ED54B45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305A3A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Red.br.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022AC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Naziv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FE79D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Iznos</w:t>
            </w:r>
          </w:p>
        </w:tc>
      </w:tr>
      <w:tr w:rsidR="000314DC" w14:paraId="1184798E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A315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30C5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Plaće i prijevoz za 12/2022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F518" w14:textId="7397F4EB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5.427,61</w:t>
            </w:r>
          </w:p>
        </w:tc>
      </w:tr>
      <w:tr w:rsidR="000314DC" w14:paraId="6B987CF6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FC4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F26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Dobavljači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459E" w14:textId="5BBB70E1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4.852,80</w:t>
            </w:r>
          </w:p>
        </w:tc>
      </w:tr>
      <w:tr w:rsidR="000314DC" w14:paraId="2B23BD1E" w14:textId="77777777" w:rsidTr="00FE1C5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3FEDCE8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6D8DB7" w14:textId="77777777" w:rsidR="000314DC" w:rsidRDefault="000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292BA" w14:textId="6D337AC9" w:rsidR="000314DC" w:rsidRDefault="00F54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10.280,41</w:t>
            </w:r>
          </w:p>
        </w:tc>
      </w:tr>
    </w:tbl>
    <w:p w14:paraId="7944BDFD" w14:textId="77777777" w:rsidR="000314DC" w:rsidRDefault="000314DC" w:rsidP="008C28C4">
      <w:pPr>
        <w:jc w:val="both"/>
        <w:rPr>
          <w:rFonts w:ascii="Arial" w:hAnsi="Arial" w:cs="Arial"/>
        </w:rPr>
      </w:pPr>
    </w:p>
    <w:p w14:paraId="08BF1D81" w14:textId="0FC5783C" w:rsidR="001C59F7" w:rsidRDefault="001C59F7" w:rsidP="008C28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Tkon nema sudskih sporova </w:t>
      </w:r>
      <w:r w:rsidR="00BB7609">
        <w:rPr>
          <w:rFonts w:ascii="Arial" w:hAnsi="Arial" w:cs="Arial"/>
        </w:rPr>
        <w:t xml:space="preserve">vezanih za novčana potraživanja </w:t>
      </w:r>
      <w:r>
        <w:rPr>
          <w:rFonts w:ascii="Arial" w:hAnsi="Arial" w:cs="Arial"/>
        </w:rPr>
        <w:t>u izvještajnom razdoblju.</w:t>
      </w:r>
    </w:p>
    <w:sectPr w:rsidR="001C59F7" w:rsidSect="0006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42D8C"/>
    <w:multiLevelType w:val="hybridMultilevel"/>
    <w:tmpl w:val="054467B0"/>
    <w:lvl w:ilvl="0" w:tplc="DC309D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21370"/>
    <w:multiLevelType w:val="hybridMultilevel"/>
    <w:tmpl w:val="DF845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530A"/>
    <w:multiLevelType w:val="hybridMultilevel"/>
    <w:tmpl w:val="BE1A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779F"/>
    <w:multiLevelType w:val="hybridMultilevel"/>
    <w:tmpl w:val="6CAA10F6"/>
    <w:lvl w:ilvl="0" w:tplc="DC309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F135A"/>
    <w:multiLevelType w:val="hybridMultilevel"/>
    <w:tmpl w:val="7004E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7DB0"/>
    <w:multiLevelType w:val="hybridMultilevel"/>
    <w:tmpl w:val="2F146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090E"/>
    <w:multiLevelType w:val="hybridMultilevel"/>
    <w:tmpl w:val="26C014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06"/>
    <w:rsid w:val="00000683"/>
    <w:rsid w:val="000142AA"/>
    <w:rsid w:val="00014E63"/>
    <w:rsid w:val="000314DC"/>
    <w:rsid w:val="00042165"/>
    <w:rsid w:val="000428A4"/>
    <w:rsid w:val="0004506F"/>
    <w:rsid w:val="00045BA4"/>
    <w:rsid w:val="000614A6"/>
    <w:rsid w:val="00066355"/>
    <w:rsid w:val="00066969"/>
    <w:rsid w:val="00080B59"/>
    <w:rsid w:val="00092DD0"/>
    <w:rsid w:val="00096C6B"/>
    <w:rsid w:val="000A2090"/>
    <w:rsid w:val="000B0AE6"/>
    <w:rsid w:val="000B10C9"/>
    <w:rsid w:val="000B4B08"/>
    <w:rsid w:val="000B6A37"/>
    <w:rsid w:val="000C0CCF"/>
    <w:rsid w:val="000C7D14"/>
    <w:rsid w:val="000D669E"/>
    <w:rsid w:val="000E683C"/>
    <w:rsid w:val="000F07DB"/>
    <w:rsid w:val="000F41A4"/>
    <w:rsid w:val="000F6823"/>
    <w:rsid w:val="00106738"/>
    <w:rsid w:val="00113264"/>
    <w:rsid w:val="00135D03"/>
    <w:rsid w:val="001646A2"/>
    <w:rsid w:val="001672DA"/>
    <w:rsid w:val="001676E8"/>
    <w:rsid w:val="00176030"/>
    <w:rsid w:val="00177E57"/>
    <w:rsid w:val="00180558"/>
    <w:rsid w:val="001819EF"/>
    <w:rsid w:val="001860FB"/>
    <w:rsid w:val="00194C57"/>
    <w:rsid w:val="00196E87"/>
    <w:rsid w:val="001972D8"/>
    <w:rsid w:val="001976B4"/>
    <w:rsid w:val="001B3FE8"/>
    <w:rsid w:val="001B45E9"/>
    <w:rsid w:val="001B742E"/>
    <w:rsid w:val="001C4328"/>
    <w:rsid w:val="001C59F7"/>
    <w:rsid w:val="001C7F11"/>
    <w:rsid w:val="001D4A52"/>
    <w:rsid w:val="001D54D2"/>
    <w:rsid w:val="001E6D1E"/>
    <w:rsid w:val="001F2F6F"/>
    <w:rsid w:val="002052B2"/>
    <w:rsid w:val="00205C37"/>
    <w:rsid w:val="002122A9"/>
    <w:rsid w:val="0022539E"/>
    <w:rsid w:val="00225EB0"/>
    <w:rsid w:val="0022609B"/>
    <w:rsid w:val="002271DD"/>
    <w:rsid w:val="00234A88"/>
    <w:rsid w:val="002417F3"/>
    <w:rsid w:val="00247801"/>
    <w:rsid w:val="002506D4"/>
    <w:rsid w:val="00251ED5"/>
    <w:rsid w:val="00252C71"/>
    <w:rsid w:val="002578B5"/>
    <w:rsid w:val="00262DEB"/>
    <w:rsid w:val="00266C93"/>
    <w:rsid w:val="00271174"/>
    <w:rsid w:val="00275071"/>
    <w:rsid w:val="0028029C"/>
    <w:rsid w:val="00287470"/>
    <w:rsid w:val="00296B88"/>
    <w:rsid w:val="002A03D7"/>
    <w:rsid w:val="002A39E0"/>
    <w:rsid w:val="002A5193"/>
    <w:rsid w:val="002B6F24"/>
    <w:rsid w:val="002C401C"/>
    <w:rsid w:val="002D1E76"/>
    <w:rsid w:val="002E323A"/>
    <w:rsid w:val="002E57AF"/>
    <w:rsid w:val="00321A2C"/>
    <w:rsid w:val="00322553"/>
    <w:rsid w:val="003235D4"/>
    <w:rsid w:val="00325C91"/>
    <w:rsid w:val="003325DF"/>
    <w:rsid w:val="0034346A"/>
    <w:rsid w:val="00373889"/>
    <w:rsid w:val="00373964"/>
    <w:rsid w:val="00381CBC"/>
    <w:rsid w:val="00382868"/>
    <w:rsid w:val="003840F9"/>
    <w:rsid w:val="003940EC"/>
    <w:rsid w:val="00396F3D"/>
    <w:rsid w:val="003974FC"/>
    <w:rsid w:val="00397545"/>
    <w:rsid w:val="003B4153"/>
    <w:rsid w:val="003B5DA9"/>
    <w:rsid w:val="003B6971"/>
    <w:rsid w:val="003D08BF"/>
    <w:rsid w:val="003D228F"/>
    <w:rsid w:val="003D610B"/>
    <w:rsid w:val="003D63C5"/>
    <w:rsid w:val="003D6EB6"/>
    <w:rsid w:val="003E07B9"/>
    <w:rsid w:val="003E413A"/>
    <w:rsid w:val="003E5F91"/>
    <w:rsid w:val="00410461"/>
    <w:rsid w:val="00413768"/>
    <w:rsid w:val="0041429B"/>
    <w:rsid w:val="0041630A"/>
    <w:rsid w:val="0041753C"/>
    <w:rsid w:val="0042215C"/>
    <w:rsid w:val="00427647"/>
    <w:rsid w:val="0043031E"/>
    <w:rsid w:val="00440720"/>
    <w:rsid w:val="00443EF1"/>
    <w:rsid w:val="00453E7D"/>
    <w:rsid w:val="0045708D"/>
    <w:rsid w:val="00460B2C"/>
    <w:rsid w:val="00467DBE"/>
    <w:rsid w:val="0047744C"/>
    <w:rsid w:val="004800B1"/>
    <w:rsid w:val="00481B05"/>
    <w:rsid w:val="0048363D"/>
    <w:rsid w:val="0048713D"/>
    <w:rsid w:val="004910DF"/>
    <w:rsid w:val="004941AD"/>
    <w:rsid w:val="004C0800"/>
    <w:rsid w:val="004C2471"/>
    <w:rsid w:val="004C378A"/>
    <w:rsid w:val="004D3294"/>
    <w:rsid w:val="004D58B2"/>
    <w:rsid w:val="004E179E"/>
    <w:rsid w:val="004E665F"/>
    <w:rsid w:val="004F1877"/>
    <w:rsid w:val="004F376E"/>
    <w:rsid w:val="004F5E2E"/>
    <w:rsid w:val="00510B30"/>
    <w:rsid w:val="005140A1"/>
    <w:rsid w:val="005148AD"/>
    <w:rsid w:val="00522BDC"/>
    <w:rsid w:val="00524582"/>
    <w:rsid w:val="005351BF"/>
    <w:rsid w:val="005367D9"/>
    <w:rsid w:val="00536FFA"/>
    <w:rsid w:val="0055269D"/>
    <w:rsid w:val="00561C0B"/>
    <w:rsid w:val="00565B87"/>
    <w:rsid w:val="00574545"/>
    <w:rsid w:val="0058156C"/>
    <w:rsid w:val="005824E4"/>
    <w:rsid w:val="0058673C"/>
    <w:rsid w:val="005915FC"/>
    <w:rsid w:val="00596408"/>
    <w:rsid w:val="005A3073"/>
    <w:rsid w:val="005A4E72"/>
    <w:rsid w:val="005B3364"/>
    <w:rsid w:val="005B72B3"/>
    <w:rsid w:val="005B77DD"/>
    <w:rsid w:val="005C7308"/>
    <w:rsid w:val="005C7B22"/>
    <w:rsid w:val="005D5067"/>
    <w:rsid w:val="005D52A5"/>
    <w:rsid w:val="005D75C7"/>
    <w:rsid w:val="005F0AF8"/>
    <w:rsid w:val="005F1050"/>
    <w:rsid w:val="005F55F6"/>
    <w:rsid w:val="006052D9"/>
    <w:rsid w:val="006071EF"/>
    <w:rsid w:val="00637101"/>
    <w:rsid w:val="00652608"/>
    <w:rsid w:val="006568C3"/>
    <w:rsid w:val="0066560C"/>
    <w:rsid w:val="0066587C"/>
    <w:rsid w:val="00672B79"/>
    <w:rsid w:val="00673A16"/>
    <w:rsid w:val="006836B7"/>
    <w:rsid w:val="006A6F4B"/>
    <w:rsid w:val="006B5BE9"/>
    <w:rsid w:val="006D3BE4"/>
    <w:rsid w:val="0070646E"/>
    <w:rsid w:val="00706866"/>
    <w:rsid w:val="00712A07"/>
    <w:rsid w:val="00725F7C"/>
    <w:rsid w:val="00730532"/>
    <w:rsid w:val="00744F84"/>
    <w:rsid w:val="0074741F"/>
    <w:rsid w:val="00757ED0"/>
    <w:rsid w:val="00763B5E"/>
    <w:rsid w:val="00775928"/>
    <w:rsid w:val="0077731E"/>
    <w:rsid w:val="0078427A"/>
    <w:rsid w:val="00790FD1"/>
    <w:rsid w:val="007A354D"/>
    <w:rsid w:val="007B27DB"/>
    <w:rsid w:val="007B30E4"/>
    <w:rsid w:val="007C75EE"/>
    <w:rsid w:val="007D6CDF"/>
    <w:rsid w:val="007E1C12"/>
    <w:rsid w:val="007F0DB9"/>
    <w:rsid w:val="007F0DE1"/>
    <w:rsid w:val="007F6758"/>
    <w:rsid w:val="008055F8"/>
    <w:rsid w:val="00810CE1"/>
    <w:rsid w:val="00810E9A"/>
    <w:rsid w:val="008145D9"/>
    <w:rsid w:val="00816590"/>
    <w:rsid w:val="00845E62"/>
    <w:rsid w:val="008471C9"/>
    <w:rsid w:val="00856AA1"/>
    <w:rsid w:val="00872AD8"/>
    <w:rsid w:val="0087397C"/>
    <w:rsid w:val="00875E1D"/>
    <w:rsid w:val="00885B1C"/>
    <w:rsid w:val="008969E1"/>
    <w:rsid w:val="008A131E"/>
    <w:rsid w:val="008A21C4"/>
    <w:rsid w:val="008A3994"/>
    <w:rsid w:val="008C28C4"/>
    <w:rsid w:val="008D6ABE"/>
    <w:rsid w:val="00907F96"/>
    <w:rsid w:val="00911DCE"/>
    <w:rsid w:val="009203B6"/>
    <w:rsid w:val="009267AB"/>
    <w:rsid w:val="009417A2"/>
    <w:rsid w:val="00965CC0"/>
    <w:rsid w:val="00975D6D"/>
    <w:rsid w:val="009925D6"/>
    <w:rsid w:val="00995708"/>
    <w:rsid w:val="009973B1"/>
    <w:rsid w:val="00997E34"/>
    <w:rsid w:val="009A6126"/>
    <w:rsid w:val="009A7FC6"/>
    <w:rsid w:val="009B3111"/>
    <w:rsid w:val="009B7AD9"/>
    <w:rsid w:val="009B7EC9"/>
    <w:rsid w:val="009C3844"/>
    <w:rsid w:val="009C7362"/>
    <w:rsid w:val="00A03E95"/>
    <w:rsid w:val="00A15FD8"/>
    <w:rsid w:val="00A22B93"/>
    <w:rsid w:val="00A231B4"/>
    <w:rsid w:val="00A31111"/>
    <w:rsid w:val="00A429FE"/>
    <w:rsid w:val="00A519C0"/>
    <w:rsid w:val="00A54378"/>
    <w:rsid w:val="00A630DD"/>
    <w:rsid w:val="00A63E8A"/>
    <w:rsid w:val="00A63F28"/>
    <w:rsid w:val="00A65719"/>
    <w:rsid w:val="00A72F3C"/>
    <w:rsid w:val="00A960DC"/>
    <w:rsid w:val="00AB2034"/>
    <w:rsid w:val="00AB46C3"/>
    <w:rsid w:val="00AC4CBD"/>
    <w:rsid w:val="00AC696F"/>
    <w:rsid w:val="00AD395A"/>
    <w:rsid w:val="00AD3DDE"/>
    <w:rsid w:val="00AD50B9"/>
    <w:rsid w:val="00AE56D8"/>
    <w:rsid w:val="00AE5A2B"/>
    <w:rsid w:val="00AF041E"/>
    <w:rsid w:val="00AF140C"/>
    <w:rsid w:val="00AF399C"/>
    <w:rsid w:val="00B05CD2"/>
    <w:rsid w:val="00B172D2"/>
    <w:rsid w:val="00B25995"/>
    <w:rsid w:val="00B315DB"/>
    <w:rsid w:val="00B46A31"/>
    <w:rsid w:val="00B62AD3"/>
    <w:rsid w:val="00B65706"/>
    <w:rsid w:val="00B659EB"/>
    <w:rsid w:val="00B71791"/>
    <w:rsid w:val="00B72DD3"/>
    <w:rsid w:val="00B83442"/>
    <w:rsid w:val="00B84E3B"/>
    <w:rsid w:val="00B96190"/>
    <w:rsid w:val="00BB7609"/>
    <w:rsid w:val="00BC2629"/>
    <w:rsid w:val="00BC3E37"/>
    <w:rsid w:val="00BC4F5E"/>
    <w:rsid w:val="00BD2B1B"/>
    <w:rsid w:val="00BE13D7"/>
    <w:rsid w:val="00BE66DF"/>
    <w:rsid w:val="00BF1678"/>
    <w:rsid w:val="00C014B6"/>
    <w:rsid w:val="00C146F2"/>
    <w:rsid w:val="00C22497"/>
    <w:rsid w:val="00C22ED7"/>
    <w:rsid w:val="00C2748E"/>
    <w:rsid w:val="00C304ED"/>
    <w:rsid w:val="00C345A8"/>
    <w:rsid w:val="00C37BBE"/>
    <w:rsid w:val="00C5420D"/>
    <w:rsid w:val="00C57721"/>
    <w:rsid w:val="00C62E00"/>
    <w:rsid w:val="00C63D6E"/>
    <w:rsid w:val="00C66F08"/>
    <w:rsid w:val="00C74087"/>
    <w:rsid w:val="00C743D9"/>
    <w:rsid w:val="00C77E9E"/>
    <w:rsid w:val="00C87809"/>
    <w:rsid w:val="00C9359C"/>
    <w:rsid w:val="00CB08DF"/>
    <w:rsid w:val="00CC4E08"/>
    <w:rsid w:val="00CC6FBE"/>
    <w:rsid w:val="00CC7EB3"/>
    <w:rsid w:val="00CD2161"/>
    <w:rsid w:val="00CD733B"/>
    <w:rsid w:val="00CD79FD"/>
    <w:rsid w:val="00CE4499"/>
    <w:rsid w:val="00CE6509"/>
    <w:rsid w:val="00CF2CD4"/>
    <w:rsid w:val="00CF4AC5"/>
    <w:rsid w:val="00D00D98"/>
    <w:rsid w:val="00D2287C"/>
    <w:rsid w:val="00D229A4"/>
    <w:rsid w:val="00D3728D"/>
    <w:rsid w:val="00D374A0"/>
    <w:rsid w:val="00D470D5"/>
    <w:rsid w:val="00D50346"/>
    <w:rsid w:val="00D614BF"/>
    <w:rsid w:val="00D617BD"/>
    <w:rsid w:val="00D6455E"/>
    <w:rsid w:val="00D73A8B"/>
    <w:rsid w:val="00D776C8"/>
    <w:rsid w:val="00D83EB7"/>
    <w:rsid w:val="00D93B44"/>
    <w:rsid w:val="00DB0D15"/>
    <w:rsid w:val="00DB2750"/>
    <w:rsid w:val="00DB7767"/>
    <w:rsid w:val="00DC65A7"/>
    <w:rsid w:val="00DD1CEA"/>
    <w:rsid w:val="00DD4E7A"/>
    <w:rsid w:val="00DE13D2"/>
    <w:rsid w:val="00DE5F63"/>
    <w:rsid w:val="00DF5018"/>
    <w:rsid w:val="00E27F27"/>
    <w:rsid w:val="00E30008"/>
    <w:rsid w:val="00E3485C"/>
    <w:rsid w:val="00E41FD8"/>
    <w:rsid w:val="00E429F6"/>
    <w:rsid w:val="00E5004E"/>
    <w:rsid w:val="00E61979"/>
    <w:rsid w:val="00E61DCE"/>
    <w:rsid w:val="00E844CF"/>
    <w:rsid w:val="00E852D9"/>
    <w:rsid w:val="00E91EB3"/>
    <w:rsid w:val="00EB10FD"/>
    <w:rsid w:val="00EB271C"/>
    <w:rsid w:val="00EB31D5"/>
    <w:rsid w:val="00EC2C11"/>
    <w:rsid w:val="00ED03A8"/>
    <w:rsid w:val="00ED1FD8"/>
    <w:rsid w:val="00ED304D"/>
    <w:rsid w:val="00ED5CF1"/>
    <w:rsid w:val="00EE0F50"/>
    <w:rsid w:val="00EE2132"/>
    <w:rsid w:val="00EE407C"/>
    <w:rsid w:val="00F11A40"/>
    <w:rsid w:val="00F2088D"/>
    <w:rsid w:val="00F32D09"/>
    <w:rsid w:val="00F34B6D"/>
    <w:rsid w:val="00F36DD6"/>
    <w:rsid w:val="00F54238"/>
    <w:rsid w:val="00F57B09"/>
    <w:rsid w:val="00F611F7"/>
    <w:rsid w:val="00F66653"/>
    <w:rsid w:val="00F72CDA"/>
    <w:rsid w:val="00F77193"/>
    <w:rsid w:val="00F80A53"/>
    <w:rsid w:val="00F81D06"/>
    <w:rsid w:val="00F821EE"/>
    <w:rsid w:val="00F82201"/>
    <w:rsid w:val="00FB7D8B"/>
    <w:rsid w:val="00FC1F06"/>
    <w:rsid w:val="00FC7164"/>
    <w:rsid w:val="00FD12DB"/>
    <w:rsid w:val="00FD1EE1"/>
    <w:rsid w:val="00FE1C5D"/>
    <w:rsid w:val="00FF3E4A"/>
    <w:rsid w:val="00FF5269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5B"/>
  <w15:docId w15:val="{CF43C564-85CD-49FB-8BC8-541AA063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F06"/>
    <w:pPr>
      <w:ind w:left="720"/>
      <w:contextualSpacing/>
    </w:pPr>
  </w:style>
  <w:style w:type="paragraph" w:styleId="Bezproreda">
    <w:name w:val="No Spacing"/>
    <w:uiPriority w:val="1"/>
    <w:qFormat/>
    <w:rsid w:val="001E6D1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C4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2358</Words>
  <Characters>13446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gbnm-2</dc:creator>
  <cp:lastModifiedBy>Vesna</cp:lastModifiedBy>
  <cp:revision>2</cp:revision>
  <cp:lastPrinted>2019-08-19T06:21:00Z</cp:lastPrinted>
  <dcterms:created xsi:type="dcterms:W3CDTF">2026-06-17T10:09:00Z</dcterms:created>
  <dcterms:modified xsi:type="dcterms:W3CDTF">2026-06-17T10:09:00Z</dcterms:modified>
</cp:coreProperties>
</file>